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78098ACB" w:rsidR="00163DFC" w:rsidRDefault="00963F2F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bookmarkStart w:id="0" w:name="_Hlk229469373"/>
      <w:r w:rsidRPr="00963F2F">
        <w:rPr>
          <w:rFonts w:asciiTheme="minorEastAsia" w:eastAsiaTheme="minorEastAsia" w:hAnsiTheme="minorEastAsia" w:hint="eastAsia"/>
          <w:sz w:val="44"/>
          <w:szCs w:val="32"/>
        </w:rPr>
        <w:t>成都市血液中心2026年园林绿化打造服务</w:t>
      </w:r>
      <w:r>
        <w:rPr>
          <w:rFonts w:asciiTheme="minorEastAsia" w:eastAsiaTheme="minorEastAsia" w:hAnsiTheme="minorEastAsia" w:hint="eastAsia"/>
          <w:sz w:val="44"/>
          <w:szCs w:val="32"/>
        </w:rPr>
        <w:t>采购项目</w:t>
      </w:r>
      <w:bookmarkEnd w:id="0"/>
    </w:p>
    <w:p w14:paraId="16F1D9BF" w14:textId="2DFAA7EA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963F2F" w:rsidRPr="00963F2F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成都市血液中心2026年园林绿化打造服务</w:t>
      </w:r>
      <w:r w:rsidR="005F3CC5" w:rsidRPr="005F3CC5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</w:p>
    <w:p w14:paraId="06F85794" w14:textId="77777777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39634B" w:rsidRPr="0039634B">
        <w:rPr>
          <w:rFonts w:ascii="仿宋" w:eastAsia="仿宋" w:hAnsi="仿宋" w:cs="Segoe UI" w:hint="eastAsia"/>
          <w:color w:val="212529"/>
          <w:sz w:val="30"/>
          <w:szCs w:val="30"/>
        </w:rPr>
        <w:t>成都市血液中心围绕</w:t>
      </w:r>
      <w:proofErr w:type="gramStart"/>
      <w:r w:rsidR="0039634B" w:rsidRPr="0039634B">
        <w:rPr>
          <w:rFonts w:ascii="仿宋" w:eastAsia="仿宋" w:hAnsi="仿宋" w:cs="Segoe UI" w:hint="eastAsia"/>
          <w:color w:val="212529"/>
          <w:sz w:val="30"/>
          <w:szCs w:val="30"/>
        </w:rPr>
        <w:t>践行</w:t>
      </w:r>
      <w:proofErr w:type="gramEnd"/>
      <w:r w:rsidR="0039634B" w:rsidRPr="0039634B">
        <w:rPr>
          <w:rFonts w:ascii="仿宋" w:eastAsia="仿宋" w:hAnsi="仿宋" w:cs="Segoe UI" w:hint="eastAsia"/>
          <w:color w:val="212529"/>
          <w:sz w:val="30"/>
          <w:szCs w:val="30"/>
        </w:rPr>
        <w:t>新发展理念的公园城市示范区建设的总目标，结合园区实际情况，现需进行园林绿化打造服务，升级部分绿化项目（预估面积约为600㎡），为采</w:t>
      </w:r>
      <w:proofErr w:type="gramStart"/>
      <w:r w:rsidR="0039634B" w:rsidRPr="0039634B">
        <w:rPr>
          <w:rFonts w:ascii="仿宋" w:eastAsia="仿宋" w:hAnsi="仿宋" w:cs="Segoe UI" w:hint="eastAsia"/>
          <w:color w:val="212529"/>
          <w:sz w:val="30"/>
          <w:szCs w:val="30"/>
        </w:rPr>
        <w:t>供血体更更加优美</w:t>
      </w:r>
      <w:proofErr w:type="gramEnd"/>
      <w:r w:rsidR="0039634B" w:rsidRPr="0039634B">
        <w:rPr>
          <w:rFonts w:ascii="仿宋" w:eastAsia="仿宋" w:hAnsi="仿宋" w:cs="Segoe UI" w:hint="eastAsia"/>
          <w:color w:val="212529"/>
          <w:sz w:val="30"/>
          <w:szCs w:val="30"/>
        </w:rPr>
        <w:t>的环境。</w:t>
      </w:r>
    </w:p>
    <w:p w14:paraId="573B25D7" w14:textId="43A408F4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采购数量1</w:t>
      </w:r>
      <w:r w:rsidR="00963F2F">
        <w:rPr>
          <w:rFonts w:ascii="仿宋" w:eastAsia="仿宋" w:hAnsi="仿宋" w:cs="Segoe UI" w:hint="eastAsia"/>
          <w:color w:val="212529"/>
          <w:sz w:val="30"/>
          <w:szCs w:val="30"/>
        </w:rPr>
        <w:t>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963F2F" w:rsidRPr="00963F2F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成都市血液中心2026年园林绿化打造服务采购项目</w:t>
      </w:r>
      <w:r w:rsidR="0039634B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预算金额</w:t>
      </w:r>
      <w:r w:rsidR="005F3CC5">
        <w:rPr>
          <w:rFonts w:ascii="仿宋" w:eastAsia="仿宋" w:hAnsi="仿宋" w:cs="Segoe UI" w:hint="eastAsia"/>
          <w:color w:val="212529"/>
          <w:sz w:val="30"/>
          <w:szCs w:val="30"/>
        </w:rPr>
        <w:t>4.9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05E4A28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2F3CB8D1" w14:textId="77777777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四、采购清单</w:t>
      </w:r>
    </w:p>
    <w:tbl>
      <w:tblPr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5531"/>
        <w:gridCol w:w="992"/>
        <w:gridCol w:w="2550"/>
        <w:gridCol w:w="3211"/>
      </w:tblGrid>
      <w:tr w:rsidR="00963F2F" w14:paraId="076C6D18" w14:textId="77777777" w:rsidTr="00415155">
        <w:trPr>
          <w:trHeight w:val="227"/>
          <w:jc w:val="center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AE93D" w14:textId="77777777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lastRenderedPageBreak/>
              <w:t>标的名称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2B5A8" w14:textId="77777777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型号/规格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FC878" w14:textId="77777777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783D" w14:textId="77777777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单价限价（元/盆）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86A7" w14:textId="2245CFB5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963F2F" w14:paraId="31B6CB16" w14:textId="77777777" w:rsidTr="00415155">
        <w:trPr>
          <w:trHeight w:val="227"/>
          <w:jc w:val="center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1DC93" w14:textId="056DC190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紫娇花</w:t>
            </w:r>
            <w:proofErr w:type="gramEnd"/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7EFB6" w14:textId="4038F8EF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15双色杯，株高≥15cm，冠幅≥15cm，每盆丛生分枝≥15枝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3D9B5" w14:textId="683D3709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盆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E1F9E" w14:textId="77777777" w:rsidR="00963F2F" w:rsidRDefault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BE43" w14:textId="4AEB0FA8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根系发达，无盘根、无病虫害、无枯叶干尖，叶色浓绿挺拔。预估种植密度：36盆/㎡。</w:t>
            </w:r>
          </w:p>
        </w:tc>
      </w:tr>
      <w:tr w:rsidR="00963F2F" w14:paraId="332A136B" w14:textId="77777777" w:rsidTr="00415155">
        <w:trPr>
          <w:trHeight w:val="227"/>
          <w:jc w:val="center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9CE0D" w14:textId="6F42E115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弗洛伦蒂娜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9DEBF" w14:textId="77777777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180#盆/2加仑及以上盆），脱盆不散坨。</w:t>
            </w:r>
          </w:p>
          <w:p w14:paraId="1472FDE3" w14:textId="64B2CCB4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苗龄：2-3年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生以上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壮苗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1A829F4B" w14:textId="3A63F41A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株高：≥200cm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2025D212" w14:textId="279853B3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地径：基部主干≥2cm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4382B85E" w14:textId="19CFD418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分枝：≥5个一级健壮分枝，枝条柔韧、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芽点饱满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，无徒长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7BA5B" w14:textId="18DA6358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盆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D6CF" w14:textId="77777777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DE1F" w14:textId="7B3CDA89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品种特性：花色为正红色，花型规整、重瓣，耐雨淋、花期长，多季重复开花，品种纯度100%：抗病性强（抗黑斑、白粉）预估种植密度：3盆/m，种植完成后必须定型牵引。</w:t>
            </w:r>
          </w:p>
        </w:tc>
      </w:tr>
      <w:tr w:rsidR="00963F2F" w14:paraId="304C220C" w14:textId="77777777" w:rsidTr="00415155">
        <w:trPr>
          <w:trHeight w:val="227"/>
          <w:jc w:val="center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C6A3" w14:textId="33A3D9D1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龙舌兰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D2989" w14:textId="55085CEE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P40标准盆（盆径40cm），盆体完好，盆土紧实不松散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74EF7057" w14:textId="3CE209DA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株高：≥60cm（土面至叶尖）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20B5B850" w14:textId="46A0BF8B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冠幅：≥80cm，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株型周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正、对称、紧凑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766C8E88" w14:textId="1FE11F0D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叶片：叶片肥厚坚挺、排列规整，无折断、无撕裂、无干枯、无病斑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26CC4218" w14:textId="1A70EA40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根系：根系健壮饱满、无空根、无烂根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5555" w14:textId="0D21F2A6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盆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CFADA" w14:textId="77777777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344D" w14:textId="77777777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健康状况：无介壳虫、根粉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蚧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、叶斑病、根腐病等病虫害。</w:t>
            </w:r>
          </w:p>
          <w:p w14:paraId="5EA663B6" w14:textId="76877A7B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整体效果：植株长势健壮，观赏效果优良。叶片坚挺完整，莲座紧凑，带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完整盆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土，无病虫害，品种纯正，特征</w:t>
            </w: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明显，无杂苗、无变异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</w:tr>
      <w:tr w:rsidR="00963F2F" w14:paraId="5C07A8BD" w14:textId="77777777" w:rsidTr="00415155">
        <w:trPr>
          <w:trHeight w:val="227"/>
          <w:jc w:val="center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EC78" w14:textId="00271801" w:rsidR="00963F2F" w:rsidRP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艳日辉</w:t>
            </w:r>
            <w:proofErr w:type="gramEnd"/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BC36" w14:textId="77777777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2加仑标准盆，盆体完好，盆土饱满不松散。</w:t>
            </w:r>
          </w:p>
          <w:p w14:paraId="700A4B64" w14:textId="78D75963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株高：≥25cm（土面至叶尖）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55FB2B1F" w14:textId="788D1762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冠幅：≥30cm，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株型周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正、莲座紧凑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1FB21E67" w14:textId="57C70482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叶片：叶片肥厚、排列整齐，叶缘红边明显，无徒长、无化水、无虫咬、无病斑、无残缺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688B90AE" w14:textId="0904DD73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根系：根系健壮、满盆，无烂根、无空根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A624A" w14:textId="6A668F50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盆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B10CF" w14:textId="77777777" w:rsidR="00963F2F" w:rsidRDefault="00963F2F" w:rsidP="00963F2F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DD5" w14:textId="26F92CD0" w:rsidR="00963F2F" w:rsidRP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健康状况：无介壳虫、根粉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蚧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、白粉病、黑斑病等病虫害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53D98D1E" w14:textId="1AB03FAC" w:rsidR="00963F2F" w:rsidRDefault="00963F2F" w:rsidP="00963F2F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植株健壮、色彩正常、观赏效果优良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</w:tr>
    </w:tbl>
    <w:p w14:paraId="0CBEA328" w14:textId="3509BDF0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 w:rsidR="00963F2F">
        <w:rPr>
          <w:rFonts w:ascii="黑体" w:eastAsia="黑体" w:hAnsi="黑体" w:cs="黑体" w:hint="eastAsia"/>
          <w:color w:val="212529"/>
          <w:sz w:val="30"/>
          <w:szCs w:val="30"/>
        </w:rPr>
        <w:t>服务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要求：</w:t>
      </w:r>
    </w:p>
    <w:p w14:paraId="2980433A" w14:textId="77777777" w:rsidR="00963F2F" w:rsidRPr="00963F2F" w:rsidRDefault="00963F2F" w:rsidP="00963F2F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清理原有地面灌木，翻新地面，新植入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如紫娇花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，蔷薇花等灌木和多肉等肉质草本。</w:t>
      </w:r>
    </w:p>
    <w:p w14:paraId="389FC0DE" w14:textId="312E6AD0" w:rsidR="00963F2F" w:rsidRPr="00963F2F" w:rsidRDefault="00963F2F" w:rsidP="00963F2F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1.彻底清除旧灌木连根挖起，清除所有主根、侧根、残桩，避免萌蘖复发。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捡净石块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、旧根、杂草、地膜、铁丝等杂物。翻土后药物杀灭残留病菌、虫卵。</w:t>
      </w:r>
    </w:p>
    <w:p w14:paraId="63B6D259" w14:textId="5CC46C47" w:rsidR="00963F2F" w:rsidRPr="00963F2F" w:rsidRDefault="00963F2F" w:rsidP="00963F2F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2.根据灌木和多肉不同需要进行土壤改良提升肥力与排水。整体中间高、边缘低，或做2%–3%坡度，防雨后积水。</w:t>
      </w:r>
    </w:p>
    <w:p w14:paraId="77B08808" w14:textId="77777777" w:rsidR="00963F2F" w:rsidRPr="00963F2F" w:rsidRDefault="00963F2F" w:rsidP="00963F2F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3.新种植灌木要求为种植深度应根茎与地表齐平，不深栽、不埋土球。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定根水应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栽后2小时内慢浇透，渗后补土填裂缝。多肉忌深埋：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根埋稳即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可，茎、叶不埋土。</w:t>
      </w:r>
    </w:p>
    <w:p w14:paraId="2B2B63C5" w14:textId="629562D1" w:rsidR="00163DFC" w:rsidRDefault="00963F2F" w:rsidP="00963F2F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4.植株养护要求生长旺盛、枝叶健壮、无枯死，病虫害率不超过3%、单株受害率不超过3%；无枯枝、枯叶、无黄土露天；密度合理，植株搭配得当，形状轮廓清晰，直线正直、曲线圆润，造型雅观，不露枝干捆扎物。植株生长健壮，无缺株断行，不露土。植物叶色正常。杂草控制：无大型、恶性、缠绕性杂草；无影响景观面貌的杂草。杂草比率≤5%。生长季节进行松土。对人行踩踏部分，及时松土更新，采取必要的隔离措施。浇水根据不同植物生物特性、品种、规格大小、季节、土壤干湿程度确定，须做到及时、适量、浇足浇遍、不遗漏地块和植株。病虫害防治：定期巡查，早防早治。病虫害防治措施效果显著,无明显有害生物危害，植物受害率控制在3%以下。预留观花的灌木保证开花繁茂，枝条不过于杂乱；无残缺，绿篱无断层，越冬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重剪不妨碍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观瞻。多肉应修根晾根：剪枯根、烂根，通风晾1–2天 ;潮土上盆：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土微湿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（手握成团、触之即散），种后</w:t>
      </w:r>
      <w:proofErr w:type="gramStart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不</w:t>
      </w:r>
      <w:proofErr w:type="gramEnd"/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t>压实过紧。所有植株的补植与清理：发现缺株应2天内及时补植同类品种，并及时挖除枯死植株，做好季节性养护。</w:t>
      </w:r>
    </w:p>
    <w:p w14:paraId="24A01813" w14:textId="1ACE4CA9" w:rsidR="00163DFC" w:rsidRDefault="00000000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</w:t>
      </w:r>
      <w:r w:rsidR="005F3CC5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1D9348BC" w14:textId="3B1957A3" w:rsidR="005F3CC5" w:rsidRPr="005F3CC5" w:rsidRDefault="005F3CC5" w:rsidP="005F3CC5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1.</w:t>
      </w:r>
      <w:r w:rsidR="007C2111">
        <w:rPr>
          <w:rFonts w:ascii="仿宋" w:eastAsia="仿宋" w:hAnsi="仿宋" w:cs="黑体" w:hint="eastAsia"/>
          <w:color w:val="212529"/>
          <w:sz w:val="30"/>
          <w:szCs w:val="30"/>
        </w:rPr>
        <w:t>服务期限</w:t>
      </w: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：</w:t>
      </w:r>
      <w:r w:rsidR="007C2111">
        <w:rPr>
          <w:rFonts w:ascii="仿宋" w:eastAsia="仿宋" w:hAnsi="仿宋" w:cs="黑体" w:hint="eastAsia"/>
          <w:color w:val="212529"/>
          <w:sz w:val="30"/>
          <w:szCs w:val="30"/>
        </w:rPr>
        <w:t>合同签订后</w:t>
      </w:r>
      <w:r w:rsidR="007C2111" w:rsidRPr="007C2111">
        <w:rPr>
          <w:rFonts w:ascii="仿宋" w:eastAsia="仿宋" w:hAnsi="仿宋" w:cs="黑体" w:hint="eastAsia"/>
          <w:color w:val="212529"/>
          <w:sz w:val="30"/>
          <w:szCs w:val="30"/>
        </w:rPr>
        <w:t>一年</w:t>
      </w:r>
      <w:r w:rsidR="007C2111">
        <w:rPr>
          <w:rFonts w:ascii="仿宋" w:eastAsia="仿宋" w:hAnsi="仿宋" w:cs="黑体" w:hint="eastAsia"/>
          <w:color w:val="212529"/>
          <w:sz w:val="30"/>
          <w:szCs w:val="30"/>
        </w:rPr>
        <w:t>。</w:t>
      </w:r>
    </w:p>
    <w:p w14:paraId="365A102A" w14:textId="14CD1867" w:rsidR="005F3CC5" w:rsidRPr="005F3CC5" w:rsidRDefault="005F3CC5" w:rsidP="005F3CC5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2.</w:t>
      </w:r>
      <w:r w:rsidR="007C2111">
        <w:rPr>
          <w:rFonts w:ascii="仿宋" w:eastAsia="仿宋" w:hAnsi="仿宋" w:cs="黑体" w:hint="eastAsia"/>
          <w:color w:val="212529"/>
          <w:sz w:val="30"/>
          <w:szCs w:val="30"/>
        </w:rPr>
        <w:t>服务</w:t>
      </w: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地点：成都市血液中心</w:t>
      </w:r>
      <w:r w:rsidR="007C2111">
        <w:rPr>
          <w:rFonts w:ascii="仿宋" w:eastAsia="仿宋" w:hAnsi="仿宋" w:cs="黑体" w:hint="eastAsia"/>
          <w:color w:val="212529"/>
          <w:sz w:val="30"/>
          <w:szCs w:val="30"/>
        </w:rPr>
        <w:t>园区内</w:t>
      </w: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。</w:t>
      </w:r>
    </w:p>
    <w:p w14:paraId="382AFA1E" w14:textId="4DD32069" w:rsidR="005F3CC5" w:rsidRDefault="005F3CC5" w:rsidP="005F3CC5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lastRenderedPageBreak/>
        <w:t>3.付款方式：</w:t>
      </w:r>
      <w:r w:rsidR="007C2111" w:rsidRPr="007C2111">
        <w:rPr>
          <w:rFonts w:ascii="仿宋" w:eastAsia="仿宋" w:hAnsi="仿宋" w:cs="黑体" w:hint="eastAsia"/>
          <w:color w:val="212529"/>
          <w:sz w:val="30"/>
          <w:szCs w:val="30"/>
        </w:rPr>
        <w:t>按单株植物计价，费用为全包价，包含运输，人工服务，税费等所有费用。报价须为固定价，合同期内不得随意涨价。付款分为二次，第一次付款为合同期内完成服务并验收合格后，据实支付应付金额的80%。第二次付款在种植完成并验收合格后一年，植物存活率达到98%并验收合格后支付应付金额的20%。供应商提供</w:t>
      </w:r>
      <w:r w:rsidR="00674DBB">
        <w:rPr>
          <w:rFonts w:ascii="仿宋" w:eastAsia="仿宋" w:hAnsi="仿宋" w:cs="黑体" w:hint="eastAsia"/>
          <w:color w:val="212529"/>
          <w:sz w:val="30"/>
          <w:szCs w:val="30"/>
        </w:rPr>
        <w:t>等值的</w:t>
      </w:r>
      <w:r w:rsidR="007C2111" w:rsidRPr="007C2111">
        <w:rPr>
          <w:rFonts w:ascii="仿宋" w:eastAsia="仿宋" w:hAnsi="仿宋" w:cs="黑体" w:hint="eastAsia"/>
          <w:color w:val="212529"/>
          <w:sz w:val="30"/>
          <w:szCs w:val="30"/>
        </w:rPr>
        <w:t>合法、有效的发票后10个工作日内付款。供应商延期提供发票的，采购人付款期相应顺延，若供应商未提供发票的，采购人有权暂停支付相应款项，且不承担任何责任。</w:t>
      </w: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。</w:t>
      </w:r>
    </w:p>
    <w:p w14:paraId="2FCBE24C" w14:textId="68460885" w:rsidR="007C2111" w:rsidRDefault="007C2111" w:rsidP="005F3CC5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4.</w:t>
      </w:r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服务过程中，供应</w:t>
      </w:r>
      <w:proofErr w:type="gramStart"/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商服务</w:t>
      </w:r>
      <w:proofErr w:type="gramEnd"/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人员应遵守采购人的各项规章制度，文明作业，无任何违规行为</w:t>
      </w:r>
      <w:r w:rsidRPr="005F3CC5">
        <w:rPr>
          <w:rFonts w:ascii="仿宋" w:eastAsia="仿宋" w:hAnsi="仿宋" w:cs="黑体" w:hint="eastAsia"/>
          <w:color w:val="212529"/>
          <w:sz w:val="30"/>
          <w:szCs w:val="30"/>
        </w:rPr>
        <w:t>。</w:t>
      </w:r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供应商承担服务期间的安全责任，包括人员、设备及第三方的安全。</w:t>
      </w:r>
    </w:p>
    <w:p w14:paraId="11CE5CC3" w14:textId="49AE209C" w:rsidR="007C2111" w:rsidRDefault="007C2111" w:rsidP="005F3CC5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5.</w:t>
      </w:r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服务期间，供应商应保证服务电话畅通，在接到采购人需求电话时，在60分钟内给予回应。</w:t>
      </w:r>
    </w:p>
    <w:p w14:paraId="23F2EA83" w14:textId="140DC7E8" w:rsidR="00163DFC" w:rsidRDefault="007C2111" w:rsidP="007C2111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>
        <w:rPr>
          <w:rFonts w:ascii="仿宋" w:eastAsia="仿宋" w:hAnsi="仿宋" w:cs="黑体" w:hint="eastAsia"/>
          <w:color w:val="212529"/>
          <w:sz w:val="30"/>
          <w:szCs w:val="30"/>
        </w:rPr>
        <w:t>6.</w:t>
      </w:r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实施园林绿化打造服务作业应在</w:t>
      </w:r>
      <w:r>
        <w:rPr>
          <w:rFonts w:ascii="仿宋" w:eastAsia="仿宋" w:hAnsi="仿宋" w:cs="黑体" w:hint="eastAsia"/>
          <w:color w:val="212529"/>
          <w:sz w:val="30"/>
          <w:szCs w:val="30"/>
        </w:rPr>
        <w:t>接到采购人通知后</w:t>
      </w:r>
      <w:r w:rsidRPr="007C2111">
        <w:rPr>
          <w:rFonts w:ascii="仿宋" w:eastAsia="仿宋" w:hAnsi="仿宋" w:cs="黑体" w:hint="eastAsia"/>
          <w:color w:val="212529"/>
          <w:sz w:val="30"/>
          <w:szCs w:val="30"/>
        </w:rPr>
        <w:t>48小时内完成。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2BB64292" w:rsidR="00163DFC" w:rsidRDefault="007C2111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963F2F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成都市血液中心2026年园林绿化打造服务</w:t>
      </w:r>
      <w:r w:rsidRPr="005F3CC5">
        <w:rPr>
          <w:rFonts w:ascii="仿宋" w:eastAsia="仿宋" w:hAnsi="仿宋" w:cs="Segoe UI" w:hint="eastAsia"/>
          <w:color w:val="212529"/>
          <w:sz w:val="30"/>
          <w:szCs w:val="30"/>
        </w:rPr>
        <w:t>采购项目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W w:w="4940" w:type="pct"/>
        <w:tblLayout w:type="fixed"/>
        <w:tblLook w:val="04A0" w:firstRow="1" w:lastRow="0" w:firstColumn="1" w:lastColumn="0" w:noHBand="0" w:noVBand="1"/>
      </w:tblPr>
      <w:tblGrid>
        <w:gridCol w:w="855"/>
        <w:gridCol w:w="1804"/>
        <w:gridCol w:w="4963"/>
        <w:gridCol w:w="857"/>
        <w:gridCol w:w="2411"/>
        <w:gridCol w:w="3114"/>
      </w:tblGrid>
      <w:tr w:rsidR="00415155" w14:paraId="0049F58B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18FB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1A7F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标的名称</w:t>
            </w:r>
          </w:p>
        </w:tc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2E49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7970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92F5" w14:textId="2F681A34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>单价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报价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>（元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/盆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>）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37" w14:textId="2001450F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415155" w:rsidRPr="007C2111" w14:paraId="4C6FCC2A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8CDF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20369" w14:textId="192FC3C9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紫娇花</w:t>
            </w:r>
            <w:proofErr w:type="gramEnd"/>
          </w:p>
        </w:tc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97E14" w14:textId="5876AAB1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15双色杯，株高≥15cm，冠幅≥15cm，每盆丛生分枝≥15枝。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5D97" w14:textId="2BB1C877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盆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54770" w14:textId="77777777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801F" w14:textId="6BC30413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根系发达，无盘根、无病虫害、无枯叶干尖，叶色浓绿挺拔。预估种植密度：36盆/㎡。</w:t>
            </w:r>
          </w:p>
        </w:tc>
      </w:tr>
      <w:tr w:rsidR="00415155" w:rsidRPr="007C2111" w14:paraId="0657D419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84836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4179" w14:textId="3B4A02D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弗洛伦蒂娜</w:t>
            </w:r>
          </w:p>
        </w:tc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BC654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180#盆/2加仑及以上盆），脱盆不散坨。</w:t>
            </w:r>
          </w:p>
          <w:p w14:paraId="58D43E49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苗龄：2-3年</w:t>
            </w:r>
            <w:proofErr w:type="gramStart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生以上</w:t>
            </w:r>
            <w:proofErr w:type="gramEnd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壮苗。</w:t>
            </w:r>
          </w:p>
          <w:p w14:paraId="61665215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株高：≥200cm。</w:t>
            </w:r>
          </w:p>
          <w:p w14:paraId="2D67C81F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地径：基部主干≥2cm。</w:t>
            </w:r>
          </w:p>
          <w:p w14:paraId="4A976A31" w14:textId="01751499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分枝：≥5个一级健壮分枝，枝条柔韧、</w:t>
            </w:r>
            <w:proofErr w:type="gramStart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芽点饱满</w:t>
            </w:r>
            <w:proofErr w:type="gramEnd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，无徒长。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B977" w14:textId="640CAB66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盆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6D9BC" w14:textId="77777777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FCB9" w14:textId="33802C83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品种特性：花色为正红色，花型规整、重瓣，耐雨淋、花期长，多季重复开花，品种纯度100%：抗病性强（抗黑斑、白粉）预估种植密度：3盆/m，种植完成后必须定型牵引。</w:t>
            </w:r>
          </w:p>
        </w:tc>
      </w:tr>
      <w:tr w:rsidR="00415155" w:rsidRPr="007C2111" w14:paraId="6E1EF274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0840B" w14:textId="77777777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68657" w14:textId="4124474C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龙舌兰</w:t>
            </w:r>
          </w:p>
        </w:tc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FF886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P40标准盆（盆径40cm），盆体完好，盆土紧实不松散。</w:t>
            </w:r>
          </w:p>
          <w:p w14:paraId="707DF2F6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株高：≥60cm（土面至叶尖）。</w:t>
            </w:r>
          </w:p>
          <w:p w14:paraId="2ADEAFBE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冠幅：≥80cm，</w:t>
            </w:r>
            <w:proofErr w:type="gramStart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株型周</w:t>
            </w:r>
            <w:proofErr w:type="gramEnd"/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正、对称、紧凑。</w:t>
            </w:r>
          </w:p>
          <w:p w14:paraId="3C08E6E9" w14:textId="77777777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叶片：叶片肥厚坚挺、排列规整，无折</w:t>
            </w: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断、无撕裂、无干枯、无病斑。</w:t>
            </w:r>
          </w:p>
          <w:p w14:paraId="00DCAAA0" w14:textId="3C8F5F26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根系：根系健壮饱满、无空根、无烂根。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C7275" w14:textId="4897738C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lastRenderedPageBreak/>
              <w:t>盆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D2DC" w14:textId="77777777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6EBC" w14:textId="77777777" w:rsidR="00415155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健康状况：无介壳虫、根粉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蚧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、叶斑病、根腐病等病虫害。</w:t>
            </w:r>
          </w:p>
          <w:p w14:paraId="0F732EB0" w14:textId="2AFD17A3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整体效果：植株长势健壮，观赏效果优良。叶</w:t>
            </w: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片坚挺完整，莲座紧凑，带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完整盆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土，无病虫害，品种纯正，特征明显，无杂苗、无变异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</w:tr>
      <w:tr w:rsidR="00415155" w:rsidRPr="007C2111" w14:paraId="61C0B008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9211" w14:textId="382E19BE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709D" w14:textId="023C1894" w:rsidR="00415155" w:rsidRP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proofErr w:type="gramStart"/>
            <w:r w:rsidRPr="00415155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艳日辉</w:t>
            </w:r>
            <w:proofErr w:type="gramEnd"/>
          </w:p>
        </w:tc>
        <w:tc>
          <w:tcPr>
            <w:tcW w:w="1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74351" w14:textId="77777777" w:rsidR="00415155" w:rsidRPr="00415155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2加仑标准盆，盆体完好，盆土饱满不松散。</w:t>
            </w:r>
          </w:p>
          <w:p w14:paraId="640E444E" w14:textId="77777777" w:rsidR="00415155" w:rsidRPr="00415155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株高：≥25cm（土面至叶尖）。</w:t>
            </w:r>
          </w:p>
          <w:p w14:paraId="125F41ED" w14:textId="77777777" w:rsidR="00415155" w:rsidRPr="00415155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冠幅：≥30cm，</w:t>
            </w:r>
            <w:proofErr w:type="gramStart"/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株型周</w:t>
            </w:r>
            <w:proofErr w:type="gramEnd"/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正、莲座紧凑。</w:t>
            </w:r>
          </w:p>
          <w:p w14:paraId="6B70CF8D" w14:textId="77777777" w:rsidR="00415155" w:rsidRPr="00415155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叶片：叶片肥厚、排列整齐，叶缘红边明显，无徒长、无化水、无虫咬、无病斑、无残缺。</w:t>
            </w:r>
          </w:p>
          <w:p w14:paraId="3ABD1A17" w14:textId="61D745BD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4151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根系：根系健壮、满盆，无烂根、无空根。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EC325" w14:textId="27AD7FB8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</w:pPr>
            <w:r w:rsidRPr="007C2111"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盆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10D4C" w14:textId="77777777" w:rsidR="00415155" w:rsidRPr="007C2111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8CEC" w14:textId="77777777" w:rsidR="00415155" w:rsidRPr="00963F2F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健康状况：无介壳虫、根粉</w:t>
            </w:r>
            <w:proofErr w:type="gramStart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蚧</w:t>
            </w:r>
            <w:proofErr w:type="gramEnd"/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、白粉病、黑斑病等病虫害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  <w:p w14:paraId="40FE9F42" w14:textId="40AB293A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963F2F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植株健壮、色彩正常、观赏效果优良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。</w:t>
            </w:r>
          </w:p>
        </w:tc>
      </w:tr>
      <w:tr w:rsidR="00415155" w:rsidRPr="007C2111" w14:paraId="2106FD15" w14:textId="77777777" w:rsidTr="00415155">
        <w:trPr>
          <w:trHeight w:val="39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A91A2" w14:textId="607C154C" w:rsidR="00415155" w:rsidRDefault="00415155" w:rsidP="0041515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单价汇总</w:t>
            </w:r>
          </w:p>
        </w:tc>
        <w:tc>
          <w:tcPr>
            <w:tcW w:w="4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4123" w14:textId="516166FC" w:rsidR="00415155" w:rsidRPr="007C2111" w:rsidRDefault="00415155" w:rsidP="00415155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小写：             元/盆（大写：                    ）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 xml:space="preserve">联系人：                                  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203E" w14:textId="77777777" w:rsidR="00E07AF4" w:rsidRDefault="00E07AF4">
      <w:pPr>
        <w:spacing w:after="0"/>
      </w:pPr>
      <w:r>
        <w:separator/>
      </w:r>
    </w:p>
  </w:endnote>
  <w:endnote w:type="continuationSeparator" w:id="0">
    <w:p w14:paraId="7B400602" w14:textId="77777777" w:rsidR="00E07AF4" w:rsidRDefault="00E07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490ADA-DD07-4388-AEC8-F6602A41A57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2CFA909-5087-4231-BB32-AC9F41040F6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A0A219E-EA9B-4F4F-BE62-53702BAE7929}"/>
    <w:embedBold r:id="rId4" w:subsetted="1" w:fontKey="{2FBF5BBC-9163-498E-94E3-CC31EBBC0708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F525" w14:textId="77777777" w:rsidR="00E07AF4" w:rsidRDefault="00E07AF4">
      <w:pPr>
        <w:spacing w:after="0"/>
      </w:pPr>
      <w:r>
        <w:separator/>
      </w:r>
    </w:p>
  </w:footnote>
  <w:footnote w:type="continuationSeparator" w:id="0">
    <w:p w14:paraId="0FA83AE7" w14:textId="77777777" w:rsidR="00E07AF4" w:rsidRDefault="00E07A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63DFC"/>
    <w:rsid w:val="00191E7D"/>
    <w:rsid w:val="002178B5"/>
    <w:rsid w:val="002C2B71"/>
    <w:rsid w:val="002D5A17"/>
    <w:rsid w:val="003342E9"/>
    <w:rsid w:val="0039634B"/>
    <w:rsid w:val="003A3C8B"/>
    <w:rsid w:val="003C29D4"/>
    <w:rsid w:val="003D5593"/>
    <w:rsid w:val="00414389"/>
    <w:rsid w:val="00415155"/>
    <w:rsid w:val="00432195"/>
    <w:rsid w:val="00463A35"/>
    <w:rsid w:val="004C7D33"/>
    <w:rsid w:val="00531955"/>
    <w:rsid w:val="005756F0"/>
    <w:rsid w:val="005A1A95"/>
    <w:rsid w:val="005C5D22"/>
    <w:rsid w:val="005F3CC5"/>
    <w:rsid w:val="00632132"/>
    <w:rsid w:val="00670407"/>
    <w:rsid w:val="00674DBB"/>
    <w:rsid w:val="006835BD"/>
    <w:rsid w:val="006836D3"/>
    <w:rsid w:val="006A595A"/>
    <w:rsid w:val="006C2335"/>
    <w:rsid w:val="007966E4"/>
    <w:rsid w:val="007B7556"/>
    <w:rsid w:val="007C2111"/>
    <w:rsid w:val="007E1A2A"/>
    <w:rsid w:val="008D4EE8"/>
    <w:rsid w:val="008E2B17"/>
    <w:rsid w:val="008F4329"/>
    <w:rsid w:val="00947AFE"/>
    <w:rsid w:val="00963F2F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374B8"/>
    <w:rsid w:val="00C40616"/>
    <w:rsid w:val="00C44AC7"/>
    <w:rsid w:val="00C52849"/>
    <w:rsid w:val="00D11BC4"/>
    <w:rsid w:val="00D15293"/>
    <w:rsid w:val="00D42ADB"/>
    <w:rsid w:val="00DD1440"/>
    <w:rsid w:val="00E07AF4"/>
    <w:rsid w:val="00ED3563"/>
    <w:rsid w:val="00F12AD7"/>
    <w:rsid w:val="00F211EF"/>
    <w:rsid w:val="00F525D0"/>
    <w:rsid w:val="00F649D5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43</cp:revision>
  <cp:lastPrinted>2025-04-18T07:27:00Z</cp:lastPrinted>
  <dcterms:created xsi:type="dcterms:W3CDTF">2024-03-06T05:58:00Z</dcterms:created>
  <dcterms:modified xsi:type="dcterms:W3CDTF">2026-05-18T06:19:00Z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