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成都市血液中心2026年一次性纸杯采购项目</w:t>
      </w:r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成都市血液中心2026年一次性纸杯采购项目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采购数量1批，成都市血液中心2026年一次性纸杯采购项目，预算金额4.8万元。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3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1D557AE4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2422E9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6、若是生产厂家需提供《全国工业产品生产许可证》（涉及食品相关产品）。/若是代理商需提供制造商授权证明及制造商有效的《全国工业产品生产许可证》（涉及食品相关产品）。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四、技术要求：</w:t>
      </w:r>
    </w:p>
    <w:p w14:paraId="2DA3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1、材质要求：</w:t>
      </w:r>
    </w:p>
    <w:p w14:paraId="23F5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 xml:space="preserve"> 材质安全无异味，必须使用食品级原生木浆纸制成，不得使用回收废纸。 内壁淋膜应为食品级聚乙烯（PE）膜，无异味，密封性好，防渗漏。 所有材料必须符合《食品安全国家标准 食品接触用纸和纸板材料及制品》 GB 4806.8-2022标准及相关国家食品安全标准。</w:t>
      </w:r>
    </w:p>
    <w:p w14:paraId="39E2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2. 物理性能：</w:t>
      </w:r>
    </w:p>
    <w:p w14:paraId="22923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杯身应坚挺，手握不易严重变形，装满水后底部不下陷、不渗漏。杯底牢固，杯底与杯身粘合紧密，平整放置无翘边，承重能力强（注满水（常温/高温）静置30分钟，杯身、杯底均不得漏水、渗漏。）。</w:t>
      </w:r>
    </w:p>
    <w:p w14:paraId="25AF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3. 外观要求：</w:t>
      </w:r>
    </w:p>
    <w:p w14:paraId="5A9C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内外表面洁净、平滑，无污点、无破损、无褶皱。 颜色均匀，水杯身印有成都市血液中心logo ，logo应设计合规，避开杯口15mm、杯底10mm禁区，内层留白，印刷字迹清晰 。塑料薄膜袋密封包装完整无破损。</w:t>
      </w:r>
    </w:p>
    <w:p w14:paraId="1008B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4、规格及数量：</w:t>
      </w:r>
    </w:p>
    <w:p w14:paraId="5F57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一次性纸杯容量为250ml；纸杯高度90±5mm；上口直径75±2mm、杯口直径51±2mm。数量为48万只，单个最高限价为0.1元/只。</w:t>
      </w:r>
    </w:p>
    <w:p w14:paraId="7328C523">
      <w:pPr>
        <w:spacing w:after="0" w:line="360" w:lineRule="auto"/>
        <w:ind w:firstLine="601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 xml:space="preserve">5、破损率：交付时需确保一次性纸杯包装无明显破损、污渍，破损率通常不超过订单量的1%-2%，否则需及时补货或退换。  </w:t>
      </w:r>
    </w:p>
    <w:p w14:paraId="6494913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合同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合同签订后14个月</w:t>
      </w:r>
      <w:bookmarkStart w:id="0" w:name="_GoBack"/>
      <w:bookmarkEnd w:id="0"/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58DB82CB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交货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地点：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成都市血液中心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3、付款方式：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以供货批次进行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付款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，采购人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对每批次供货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验收合格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，收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到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提供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合法、有效发票后1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个工作日内付款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若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在规定时限内未向采购人递交上述资料，采购人可延期付款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2A280CAF">
      <w:pPr>
        <w:widowControl w:val="0"/>
        <w:adjustRightInd/>
        <w:snapToGrid/>
        <w:spacing w:after="0"/>
        <w:ind w:firstLine="600" w:firstLineChars="200"/>
        <w:jc w:val="both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六、其他要求</w:t>
      </w:r>
    </w:p>
    <w:p w14:paraId="60744973">
      <w:pPr>
        <w:widowControl w:val="0"/>
        <w:adjustRightInd/>
        <w:snapToGrid/>
        <w:spacing w:after="0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1、供应商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/>
        </w:rPr>
        <w:t>需提供有效的第三方权威检测报告（至少包含卫生安全、渗漏性能、负重性能等关键项目）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。</w:t>
      </w:r>
    </w:p>
    <w:p w14:paraId="6832AC13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0032EF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成都市血液中心2026年一次性纸杯采购项目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7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只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0C6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成都市血液中心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  <w:t>2026年一次性纸杯</w:t>
            </w:r>
          </w:p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采购项目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59BEB2CA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本项目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采购数量为48万只，单个最高限价为0.1元/只。</w:t>
            </w:r>
          </w:p>
          <w:p w14:paraId="2CF40256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</w:p>
          <w:p w14:paraId="763C97D0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万只，单个最高限价为0.1元/只。</w:t>
            </w:r>
          </w:p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。</w:t>
            </w: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99E62-949B-420F-85FD-EC12ED336A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E9F05D-1A77-4F2C-9EB5-EE53F8217616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1B885BB3-3F0C-4F23-919A-23AFB0147DD5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34EFBF2E-53E4-4809-AE39-0A91A8C40EC0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5" w:fontKey="{E775F824-910F-498F-87D3-DBCC5E3C13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D2A7E89"/>
    <w:rsid w:val="2EDE49DD"/>
    <w:rsid w:val="2FC02BC6"/>
    <w:rsid w:val="33192CB4"/>
    <w:rsid w:val="33A72461"/>
    <w:rsid w:val="33D97549"/>
    <w:rsid w:val="346017F6"/>
    <w:rsid w:val="3614022B"/>
    <w:rsid w:val="364934A3"/>
    <w:rsid w:val="36E21E20"/>
    <w:rsid w:val="37E87FE5"/>
    <w:rsid w:val="3A7E3BE5"/>
    <w:rsid w:val="3CD63197"/>
    <w:rsid w:val="3D4608B1"/>
    <w:rsid w:val="40DF4491"/>
    <w:rsid w:val="42D02F31"/>
    <w:rsid w:val="43D45F57"/>
    <w:rsid w:val="48CB7A77"/>
    <w:rsid w:val="4AAD66F2"/>
    <w:rsid w:val="4C433374"/>
    <w:rsid w:val="4C801545"/>
    <w:rsid w:val="4DCC356C"/>
    <w:rsid w:val="4E37780E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3">
    <w:name w:val="页眉 字符"/>
    <w:basedOn w:val="8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1048</Words>
  <Characters>1118</Characters>
  <Lines>31</Lines>
  <Paragraphs>42</Paragraphs>
  <TotalTime>48</TotalTime>
  <ScaleCrop>false</ScaleCrop>
  <LinksUpToDate>false</LinksUpToDate>
  <CharactersWithSpaces>1165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-</cp:lastModifiedBy>
  <cp:lastPrinted>2025-04-18T07:27:00Z</cp:lastPrinted>
  <dcterms:modified xsi:type="dcterms:W3CDTF">2026-02-27T02:23:00Z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eyJoZGlkIjoiOGJlMDdjNGVhYzA3ZmQ3ZTY3MjNkOTQzMDQwZWMzYWQiLCJ1c2VySWQiOiIzMTc1ODMzOTQifQ==</vt:lpwstr>
  </property>
</Properties>
</file>