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Times New Roman" w:hAnsi="Times New Roman" w:cs="Times New Roman"/>
          <w:b/>
          <w:bCs/>
          <w:sz w:val="36"/>
          <w:szCs w:val="36"/>
        </w:rPr>
      </w:pPr>
      <w:r>
        <w:rPr>
          <w:rFonts w:ascii="Times New Roman" w:hAnsi="Times New Roman" w:cs="Times New Roman"/>
          <w:b/>
          <w:bCs/>
          <w:sz w:val="36"/>
          <w:szCs w:val="36"/>
        </w:rPr>
        <w:t>附件</w:t>
      </w:r>
      <w:r>
        <w:rPr>
          <w:rFonts w:hint="eastAsia" w:ascii="Times New Roman" w:hAnsi="Times New Roman" w:cs="Times New Roman"/>
          <w:b/>
          <w:bCs/>
          <w:sz w:val="36"/>
          <w:szCs w:val="36"/>
        </w:rPr>
        <w:t>五</w:t>
      </w:r>
      <w:r>
        <w:rPr>
          <w:rFonts w:ascii="Times New Roman" w:hAnsi="Times New Roman" w:cs="Times New Roman"/>
          <w:b/>
          <w:bCs/>
          <w:sz w:val="36"/>
          <w:szCs w:val="36"/>
        </w:rPr>
        <w:t>：</w:t>
      </w:r>
    </w:p>
    <w:p>
      <w:pPr>
        <w:spacing w:line="480" w:lineRule="exact"/>
        <w:jc w:val="center"/>
        <w:rPr>
          <w:rFonts w:ascii="Times New Roman" w:hAnsi="Times New Roman" w:cs="Times New Roman"/>
          <w:b/>
          <w:bCs/>
          <w:sz w:val="36"/>
          <w:szCs w:val="36"/>
        </w:rPr>
      </w:pPr>
      <w:r>
        <w:rPr>
          <w:rFonts w:hint="eastAsia" w:ascii="Times New Roman" w:hAnsi="Times New Roman" w:cs="Times New Roman"/>
          <w:b/>
          <w:bCs/>
          <w:sz w:val="36"/>
          <w:szCs w:val="36"/>
        </w:rPr>
        <w:t>交换机</w:t>
      </w:r>
      <w:r>
        <w:rPr>
          <w:rFonts w:hint="eastAsia" w:ascii="Times New Roman" w:hAnsi="Times New Roman" w:cs="Times New Roman"/>
          <w:b/>
          <w:bCs/>
          <w:sz w:val="36"/>
          <w:szCs w:val="36"/>
          <w:lang w:eastAsia="zh-CN"/>
        </w:rPr>
        <w:t>、</w:t>
      </w:r>
      <w:r>
        <w:rPr>
          <w:rFonts w:hint="eastAsia" w:ascii="Times New Roman" w:hAnsi="Times New Roman" w:cs="Times New Roman"/>
          <w:b/>
          <w:bCs/>
          <w:sz w:val="36"/>
          <w:szCs w:val="36"/>
        </w:rPr>
        <w:t>无线网关</w:t>
      </w:r>
      <w:r>
        <w:rPr>
          <w:rFonts w:ascii="Times New Roman" w:hAnsi="Times New Roman" w:cs="Times New Roman"/>
          <w:b/>
          <w:bCs/>
          <w:sz w:val="36"/>
          <w:szCs w:val="36"/>
        </w:rPr>
        <w:t>要求</w:t>
      </w:r>
      <w:bookmarkStart w:id="0" w:name="_GoBack"/>
      <w:bookmarkEnd w:id="0"/>
    </w:p>
    <w:p>
      <w:pPr>
        <w:numPr>
          <w:ilvl w:val="0"/>
          <w:numId w:val="1"/>
        </w:numPr>
        <w:spacing w:line="480" w:lineRule="exact"/>
        <w:jc w:val="left"/>
        <w:rPr>
          <w:rFonts w:ascii="Times New Roman" w:hAnsi="Times New Roman" w:cs="Times New Roman"/>
          <w:b/>
          <w:bCs/>
          <w:sz w:val="28"/>
          <w:szCs w:val="36"/>
        </w:rPr>
      </w:pPr>
      <w:r>
        <w:rPr>
          <w:rFonts w:ascii="Times New Roman" w:hAnsi="Times New Roman" w:cs="Times New Roman"/>
          <w:b/>
          <w:bCs/>
          <w:sz w:val="28"/>
          <w:szCs w:val="36"/>
        </w:rPr>
        <w:t>产品</w:t>
      </w:r>
      <w:r>
        <w:rPr>
          <w:rFonts w:hint="eastAsia" w:ascii="Times New Roman" w:hAnsi="Times New Roman" w:cs="Times New Roman"/>
          <w:b/>
          <w:bCs/>
          <w:sz w:val="28"/>
          <w:szCs w:val="36"/>
        </w:rPr>
        <w:t>清单</w:t>
      </w:r>
    </w:p>
    <w:tbl>
      <w:tblPr>
        <w:tblStyle w:val="6"/>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3518"/>
        <w:gridCol w:w="1382"/>
        <w:gridCol w:w="1371"/>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78" w:type="dxa"/>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序号</w:t>
            </w:r>
          </w:p>
        </w:tc>
        <w:tc>
          <w:tcPr>
            <w:tcW w:w="3518" w:type="dxa"/>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设备类型</w:t>
            </w:r>
          </w:p>
        </w:tc>
        <w:tc>
          <w:tcPr>
            <w:tcW w:w="1382" w:type="dxa"/>
            <w:shd w:val="clear" w:color="auto" w:fill="auto"/>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单位</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数量</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单价限价（元）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78" w:type="dxa"/>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1</w:t>
            </w:r>
          </w:p>
        </w:tc>
        <w:tc>
          <w:tcPr>
            <w:tcW w:w="3518" w:type="dxa"/>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车载双模信号收发终端（无线网关）</w:t>
            </w:r>
          </w:p>
        </w:tc>
        <w:tc>
          <w:tcPr>
            <w:tcW w:w="1382" w:type="dxa"/>
            <w:shd w:val="clear" w:color="auto" w:fill="auto"/>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台</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10</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10500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78" w:type="dxa"/>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2</w:t>
            </w:r>
          </w:p>
        </w:tc>
        <w:tc>
          <w:tcPr>
            <w:tcW w:w="3518" w:type="dxa"/>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万兆以太网汇聚交换机</w:t>
            </w:r>
          </w:p>
        </w:tc>
        <w:tc>
          <w:tcPr>
            <w:tcW w:w="1382" w:type="dxa"/>
            <w:shd w:val="clear" w:color="auto" w:fill="auto"/>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台</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1</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14000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78" w:type="dxa"/>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3</w:t>
            </w:r>
          </w:p>
        </w:tc>
        <w:tc>
          <w:tcPr>
            <w:tcW w:w="3518" w:type="dxa"/>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万兆以太网接入交换机</w:t>
            </w:r>
          </w:p>
        </w:tc>
        <w:tc>
          <w:tcPr>
            <w:tcW w:w="1382" w:type="dxa"/>
            <w:shd w:val="clear" w:color="auto" w:fill="auto"/>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台</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2</w:t>
            </w:r>
          </w:p>
        </w:tc>
        <w:tc>
          <w:tcPr>
            <w:tcW w:w="1371" w:type="dxa"/>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15500</w:t>
            </w:r>
          </w:p>
        </w:tc>
      </w:tr>
    </w:tbl>
    <w:p>
      <w:pPr>
        <w:spacing w:line="480" w:lineRule="exact"/>
        <w:jc w:val="left"/>
        <w:rPr>
          <w:rFonts w:ascii="Times New Roman" w:hAnsi="Times New Roman" w:cs="Times New Roman"/>
          <w:b/>
          <w:bCs/>
          <w:sz w:val="28"/>
          <w:szCs w:val="36"/>
        </w:rPr>
      </w:pPr>
      <w:r>
        <w:rPr>
          <w:rFonts w:ascii="Times New Roman" w:hAnsi="Times New Roman" w:cs="Times New Roman"/>
          <w:b/>
          <w:bCs/>
          <w:sz w:val="28"/>
          <w:szCs w:val="36"/>
        </w:rPr>
        <w:t>二、产品要求</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1858"/>
        <w:gridCol w:w="5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tcPr>
          <w:p>
            <w:pPr>
              <w:jc w:val="center"/>
              <w:rPr>
                <w:rFonts w:ascii="Times New Roman" w:hAnsi="Times New Roman" w:eastAsia="宋体" w:cs="Times New Roman"/>
                <w:sz w:val="24"/>
              </w:rPr>
            </w:pPr>
            <w:r>
              <w:rPr>
                <w:rFonts w:ascii="Times New Roman" w:hAnsi="Times New Roman" w:eastAsia="宋体" w:cs="Times New Roman"/>
                <w:sz w:val="24"/>
              </w:rPr>
              <w:t>序号</w:t>
            </w:r>
          </w:p>
        </w:tc>
        <w:tc>
          <w:tcPr>
            <w:tcW w:w="1090" w:type="pct"/>
          </w:tcPr>
          <w:p>
            <w:pPr>
              <w:jc w:val="center"/>
              <w:rPr>
                <w:rFonts w:ascii="Times New Roman" w:hAnsi="Times New Roman" w:eastAsia="宋体" w:cs="Times New Roman"/>
                <w:sz w:val="24"/>
              </w:rPr>
            </w:pPr>
            <w:r>
              <w:rPr>
                <w:rFonts w:ascii="Times New Roman" w:hAnsi="Times New Roman" w:eastAsia="宋体" w:cs="Times New Roman"/>
                <w:sz w:val="24"/>
              </w:rPr>
              <w:t>设备名称</w:t>
            </w:r>
          </w:p>
        </w:tc>
        <w:tc>
          <w:tcPr>
            <w:tcW w:w="3457" w:type="pct"/>
          </w:tcPr>
          <w:p>
            <w:pPr>
              <w:jc w:val="center"/>
              <w:rPr>
                <w:rFonts w:ascii="Times New Roman" w:hAnsi="Times New Roman" w:eastAsia="宋体" w:cs="Times New Roman"/>
                <w:sz w:val="24"/>
              </w:rPr>
            </w:pPr>
            <w:r>
              <w:rPr>
                <w:rFonts w:ascii="Times New Roman" w:hAnsi="Times New Roman" w:eastAsia="宋体" w:cs="Times New Roman"/>
                <w:sz w:val="24"/>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tcPr>
          <w:p>
            <w:pPr>
              <w:jc w:val="center"/>
              <w:rPr>
                <w:rFonts w:ascii="Times New Roman" w:hAnsi="Times New Roman" w:eastAsia="宋体" w:cs="Times New Roman"/>
                <w:sz w:val="24"/>
              </w:rPr>
            </w:pPr>
            <w:r>
              <w:rPr>
                <w:rFonts w:ascii="Times New Roman" w:hAnsi="Times New Roman" w:eastAsia="宋体" w:cs="Times New Roman"/>
                <w:sz w:val="24"/>
              </w:rPr>
              <w:t>1</w:t>
            </w:r>
          </w:p>
        </w:tc>
        <w:tc>
          <w:tcPr>
            <w:tcW w:w="1090" w:type="pct"/>
          </w:tcPr>
          <w:p>
            <w:pPr>
              <w:jc w:val="center"/>
              <w:rPr>
                <w:rFonts w:ascii="Times New Roman" w:hAnsi="Times New Roman" w:eastAsia="宋体" w:cs="Times New Roman"/>
                <w:sz w:val="24"/>
              </w:rPr>
            </w:pPr>
            <w:r>
              <w:rPr>
                <w:rFonts w:ascii="Times New Roman" w:hAnsi="Times New Roman" w:eastAsia="宋体" w:cs="Times New Roman"/>
                <w:sz w:val="24"/>
              </w:rPr>
              <w:t>车载双模信号收发终端</w:t>
            </w:r>
          </w:p>
        </w:tc>
        <w:tc>
          <w:tcPr>
            <w:tcW w:w="3457" w:type="pct"/>
          </w:tcPr>
          <w:p>
            <w:pPr>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覆盖国内所有主流5G频段，包括n1/n28/n41/n78/n79，兼容WCDMA B 1/B8频段，WCDMA 传输速率：DL ≥42Mbps ，UL ≥5.76Mbps</w:t>
            </w:r>
          </w:p>
          <w:p>
            <w:pPr>
              <w:rPr>
                <w:rFonts w:ascii="Times New Roman" w:hAnsi="Times New Roman" w:eastAsia="宋体" w:cs="Times New Roman"/>
                <w:sz w:val="24"/>
              </w:rPr>
            </w:pPr>
            <w:r>
              <w:rPr>
                <w:rFonts w:ascii="Times New Roman" w:hAnsi="Times New Roman" w:eastAsia="宋体" w:cs="Times New Roman"/>
                <w:sz w:val="24"/>
              </w:rPr>
              <w:t>2、覆盖LTE-FDD与LTE-TDD国内所有主流频段，包括B1/B3/B5/B8/B34/B38/B39/B40/B41，LTE 传输速率 D L ≥1.0Gbps ，≥UL 200Mbps</w:t>
            </w:r>
          </w:p>
          <w:p>
            <w:pPr>
              <w:rPr>
                <w:rFonts w:ascii="Times New Roman" w:hAnsi="Times New Roman" w:eastAsia="宋体" w:cs="Times New Roman"/>
                <w:sz w:val="24"/>
              </w:rPr>
            </w:pPr>
            <w:r>
              <w:rPr>
                <w:rFonts w:ascii="Times New Roman" w:hAnsi="Times New Roman" w:eastAsia="宋体" w:cs="Times New Roman"/>
                <w:sz w:val="24"/>
              </w:rPr>
              <w:t>3、提供NSA和SA模式自适应，5G SA Sub 6 传输速率 D L ≥2.1 Gbps，UL ≥900 Mbps;5G NSA Sub 6 传输速率 D L ≥2.5 Gbps，UL ≥550 Mbps;</w:t>
            </w:r>
          </w:p>
          <w:p>
            <w:pPr>
              <w:rPr>
                <w:rFonts w:ascii="Times New Roman" w:hAnsi="Times New Roman" w:eastAsia="宋体" w:cs="Times New Roman"/>
                <w:sz w:val="24"/>
              </w:rPr>
            </w:pPr>
            <w:r>
              <w:rPr>
                <w:rFonts w:ascii="Times New Roman" w:hAnsi="Times New Roman" w:eastAsia="宋体" w:cs="Times New Roman"/>
                <w:sz w:val="24"/>
              </w:rPr>
              <w:t>4、提供WIFI6无线覆盖，兼容IEEE802.11a/b/g/n/ac等标准，支持2.4GHz/5GHz双频并发，WIFI 传输速率：2.4GHz≥575 Mbps， 5GHz≥1.2Gbps；</w:t>
            </w:r>
          </w:p>
          <w:p>
            <w:pPr>
              <w:rPr>
                <w:rFonts w:ascii="Times New Roman" w:hAnsi="Times New Roman" w:eastAsia="宋体" w:cs="Times New Roman"/>
                <w:sz w:val="24"/>
              </w:rPr>
            </w:pPr>
            <w:r>
              <w:rPr>
                <w:rFonts w:ascii="Times New Roman" w:hAnsi="Times New Roman" w:eastAsia="宋体" w:cs="Times New Roman"/>
                <w:sz w:val="24"/>
              </w:rPr>
              <w:t>5、提供静态路由、IPV4/IPV6双栈、GRE隧道、L2TP、NAT、端口映射、DHCP、DNS、IPSec加密等网络功能</w:t>
            </w:r>
          </w:p>
          <w:p>
            <w:pPr>
              <w:rPr>
                <w:rFonts w:ascii="Times New Roman" w:hAnsi="Times New Roman" w:eastAsia="宋体" w:cs="Times New Roman"/>
                <w:sz w:val="24"/>
              </w:rPr>
            </w:pPr>
            <w:r>
              <w:rPr>
                <w:rFonts w:ascii="Times New Roman" w:hAnsi="Times New Roman" w:eastAsia="宋体" w:cs="Times New Roman"/>
                <w:sz w:val="24"/>
              </w:rPr>
              <w:t>6、提供≥2个SIM卡接口、≥1个GE RJ45接口、≥1个GE 凤凰端子接口、≥1个RS232/485二合一凤凰端子串口、≥1个Console RJ45接口、≥2个DC供电接口。</w:t>
            </w:r>
          </w:p>
          <w:p>
            <w:pPr>
              <w:rPr>
                <w:rFonts w:ascii="Times New Roman" w:hAnsi="Times New Roman" w:eastAsia="宋体" w:cs="Times New Roman"/>
                <w:sz w:val="24"/>
              </w:rPr>
            </w:pPr>
            <w:r>
              <w:rPr>
                <w:rFonts w:ascii="Times New Roman" w:hAnsi="Times New Roman" w:eastAsia="宋体" w:cs="Times New Roman"/>
                <w:sz w:val="24"/>
              </w:rPr>
              <w:t xml:space="preserve">7、提供≥6个外置天线接口，配置5G NR外置天线≥4根，WIFI外置天线≥ 2根，5G NR发射功率≥26dBm，WIFI发射功率≥27dBm。 </w:t>
            </w:r>
          </w:p>
          <w:p>
            <w:pPr>
              <w:rPr>
                <w:rFonts w:ascii="Times New Roman" w:hAnsi="Times New Roman" w:eastAsia="宋体" w:cs="Times New Roman"/>
                <w:sz w:val="24"/>
              </w:rPr>
            </w:pPr>
            <w:r>
              <w:rPr>
                <w:rFonts w:ascii="Times New Roman" w:hAnsi="Times New Roman" w:eastAsia="宋体" w:cs="Times New Roman"/>
                <w:sz w:val="24"/>
              </w:rPr>
              <w:t>8、支持CLI管理、本地WEB网管、远程网管等多种管理方式，且有RJ45接口，NR，WIFI，电源状态指示灯。</w:t>
            </w:r>
          </w:p>
          <w:p>
            <w:pPr>
              <w:rPr>
                <w:rFonts w:ascii="Times New Roman" w:hAnsi="Times New Roman" w:eastAsia="宋体" w:cs="Times New Roman"/>
                <w:sz w:val="24"/>
              </w:rPr>
            </w:pPr>
            <w:r>
              <w:rPr>
                <w:rFonts w:ascii="Times New Roman" w:hAnsi="Times New Roman" w:eastAsia="宋体" w:cs="Times New Roman"/>
                <w:sz w:val="24"/>
              </w:rPr>
              <w:t>9、需支持壁挂、导轨、桌面等安装方式，需支持DC 12～24V的宽幅供电。</w:t>
            </w:r>
          </w:p>
          <w:p>
            <w:pPr>
              <w:rPr>
                <w:rFonts w:ascii="Times New Roman" w:hAnsi="Times New Roman" w:eastAsia="宋体" w:cs="Times New Roman"/>
                <w:sz w:val="24"/>
              </w:rPr>
            </w:pPr>
            <w:r>
              <w:rPr>
                <w:rFonts w:ascii="Times New Roman" w:hAnsi="Times New Roman" w:eastAsia="宋体" w:cs="Times New Roman"/>
                <w:sz w:val="24"/>
              </w:rPr>
              <w:t>10、需支持瘦AP（fit AP)工作模式，并可被无线控制器进行统一管理。多fit AP进行组网时，WIFI Client可以实现跨fit AP的无感知认证和漫游。</w:t>
            </w:r>
          </w:p>
          <w:p>
            <w:pPr>
              <w:rPr>
                <w:rFonts w:ascii="Times New Roman" w:hAnsi="Times New Roman" w:eastAsia="宋体" w:cs="Times New Roman"/>
                <w:sz w:val="24"/>
              </w:rPr>
            </w:pPr>
            <w:r>
              <w:rPr>
                <w:rFonts w:hint="eastAsia" w:ascii="Times New Roman" w:hAnsi="Times New Roman" w:eastAsia="宋体" w:cs="Times New Roman"/>
                <w:sz w:val="24"/>
              </w:rPr>
              <w:t>11</w:t>
            </w:r>
            <w:r>
              <w:rPr>
                <w:rFonts w:ascii="Times New Roman" w:hAnsi="Times New Roman" w:eastAsia="宋体" w:cs="Times New Roman"/>
                <w:sz w:val="24"/>
              </w:rPr>
              <w:t>、车载双模信号收发终端可被无线控制器进行统一管理，支持安装注册至血液中心现有的无线控制器，若无法安装注册至血液中心现有无线控制器，需提供一台性能等同或优于血液中心现有的无线控制器设备，性能如下：</w:t>
            </w:r>
          </w:p>
          <w:p>
            <w:pPr>
              <w:rPr>
                <w:rFonts w:ascii="Times New Roman" w:hAnsi="Times New Roman" w:eastAsia="宋体" w:cs="Times New Roman"/>
                <w:sz w:val="24"/>
              </w:rPr>
            </w:pPr>
            <w:r>
              <w:rPr>
                <w:rFonts w:hint="eastAsia" w:ascii="Times New Roman" w:hAnsi="Times New Roman" w:eastAsia="宋体" w:cs="Times New Roman"/>
                <w:sz w:val="24"/>
              </w:rPr>
              <w:t>12</w:t>
            </w:r>
            <w:r>
              <w:rPr>
                <w:rFonts w:ascii="Times New Roman" w:hAnsi="Times New Roman" w:eastAsia="宋体" w:cs="Times New Roman"/>
                <w:sz w:val="24"/>
              </w:rPr>
              <w:t>、支持管理最大AP数量不低于2048；数据转发性能不低于40Gbps；单台配置AP License管理授权不少于512个；千兆电端口不低于10个，万兆光口不低于10个，40G光口不低于2个。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tcPr>
          <w:p>
            <w:pPr>
              <w:jc w:val="center"/>
              <w:rPr>
                <w:rFonts w:ascii="Times New Roman" w:hAnsi="Times New Roman" w:eastAsia="宋体" w:cs="Times New Roman"/>
                <w:sz w:val="24"/>
              </w:rPr>
            </w:pPr>
            <w:r>
              <w:rPr>
                <w:rFonts w:ascii="Times New Roman" w:hAnsi="Times New Roman" w:eastAsia="宋体" w:cs="Times New Roman"/>
                <w:sz w:val="24"/>
              </w:rPr>
              <w:t xml:space="preserve">  2、</w:t>
            </w:r>
          </w:p>
        </w:tc>
        <w:tc>
          <w:tcPr>
            <w:tcW w:w="1090" w:type="pct"/>
          </w:tcPr>
          <w:p>
            <w:pPr>
              <w:rPr>
                <w:rFonts w:ascii="Times New Roman" w:hAnsi="Times New Roman" w:eastAsia="宋体" w:cs="Times New Roman"/>
                <w:sz w:val="24"/>
              </w:rPr>
            </w:pPr>
            <w:r>
              <w:rPr>
                <w:rFonts w:ascii="Times New Roman" w:hAnsi="Times New Roman" w:eastAsia="宋体" w:cs="Times New Roman"/>
                <w:color w:val="000000"/>
                <w:kern w:val="0"/>
                <w:sz w:val="24"/>
              </w:rPr>
              <w:t>万兆以太网汇聚交换机</w:t>
            </w:r>
          </w:p>
        </w:tc>
        <w:tc>
          <w:tcPr>
            <w:tcW w:w="3457" w:type="pct"/>
          </w:tcPr>
          <w:p>
            <w:pPr>
              <w:rPr>
                <w:rFonts w:ascii="Times New Roman" w:hAnsi="Times New Roman" w:eastAsia="宋体" w:cs="Times New Roman"/>
                <w:sz w:val="24"/>
              </w:rPr>
            </w:pPr>
            <w:r>
              <w:rPr>
                <w:rFonts w:ascii="Times New Roman" w:hAnsi="Times New Roman" w:eastAsia="宋体" w:cs="Times New Roman"/>
                <w:sz w:val="24"/>
              </w:rPr>
              <w:t>1、整机交换容量≥330Gbps；包转发率≥120Mpps；</w:t>
            </w:r>
          </w:p>
          <w:p>
            <w:pPr>
              <w:rPr>
                <w:rFonts w:ascii="Times New Roman" w:hAnsi="Times New Roman" w:eastAsia="宋体" w:cs="Times New Roman"/>
                <w:sz w:val="24"/>
              </w:rPr>
            </w:pPr>
            <w:r>
              <w:rPr>
                <w:rFonts w:ascii="Times New Roman" w:hAnsi="Times New Roman" w:eastAsia="宋体" w:cs="Times New Roman"/>
                <w:sz w:val="24"/>
              </w:rPr>
              <w:t>2、≥24个10/100/1000Base-T自适应以太网端口，≥4个万兆SFP口。</w:t>
            </w:r>
          </w:p>
          <w:p>
            <w:pPr>
              <w:rPr>
                <w:rFonts w:ascii="Times New Roman" w:hAnsi="Times New Roman" w:eastAsia="宋体" w:cs="Times New Roman"/>
                <w:sz w:val="24"/>
              </w:rPr>
            </w:pPr>
            <w:r>
              <w:rPr>
                <w:rFonts w:ascii="Times New Roman" w:hAnsi="Times New Roman" w:eastAsia="宋体" w:cs="Times New Roman"/>
                <w:sz w:val="24"/>
              </w:rPr>
              <w:t>3、通过浪涌（冲击）抗扰度（方法标准GB/T 17626.5-2008）测试，要求信号端口电压（线对地）≥10kV，</w:t>
            </w:r>
          </w:p>
          <w:p>
            <w:pPr>
              <w:rPr>
                <w:rFonts w:ascii="Times New Roman" w:hAnsi="Times New Roman" w:eastAsia="宋体" w:cs="Times New Roman"/>
                <w:sz w:val="24"/>
              </w:rPr>
            </w:pPr>
            <w:r>
              <w:rPr>
                <w:rFonts w:ascii="Times New Roman" w:hAnsi="Times New Roman" w:eastAsia="宋体" w:cs="Times New Roman"/>
                <w:sz w:val="24"/>
              </w:rPr>
              <w:t>4、支持云平台对交换机进行连接管理，支持使用蓝牙进行连接管理。支持手机APP管理交换机。</w:t>
            </w:r>
          </w:p>
          <w:p>
            <w:pPr>
              <w:rPr>
                <w:rFonts w:ascii="Times New Roman" w:hAnsi="Times New Roman" w:eastAsia="宋体" w:cs="Times New Roman"/>
                <w:sz w:val="24"/>
              </w:rPr>
            </w:pPr>
            <w:r>
              <w:rPr>
                <w:rFonts w:ascii="Times New Roman" w:hAnsi="Times New Roman" w:eastAsia="宋体" w:cs="Times New Roman"/>
                <w:sz w:val="24"/>
              </w:rPr>
              <w:t>5、设备具备USB接口，可以通过USB拷贝删除文件；支持RRPP（快速环网保护协议），支持Smartlink，支持RSTP功能，支持MSTP功能，支持PVST功能；支持静态路由，支持RIP/RIPng，OSPF v2/v3；支持CPU保护功能。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tcPr>
          <w:p>
            <w:pPr>
              <w:jc w:val="center"/>
              <w:rPr>
                <w:rFonts w:ascii="Times New Roman" w:hAnsi="Times New Roman" w:eastAsia="宋体" w:cs="Times New Roman"/>
                <w:sz w:val="24"/>
              </w:rPr>
            </w:pPr>
            <w:r>
              <w:rPr>
                <w:rFonts w:ascii="Times New Roman" w:hAnsi="Times New Roman" w:eastAsia="宋体" w:cs="Times New Roman"/>
                <w:sz w:val="24"/>
              </w:rPr>
              <w:t>3</w:t>
            </w:r>
          </w:p>
        </w:tc>
        <w:tc>
          <w:tcPr>
            <w:tcW w:w="1090" w:type="pct"/>
          </w:tcPr>
          <w:p>
            <w:pPr>
              <w:rPr>
                <w:rFonts w:ascii="Times New Roman" w:hAnsi="Times New Roman" w:eastAsia="宋体" w:cs="Times New Roman"/>
                <w:sz w:val="24"/>
              </w:rPr>
            </w:pPr>
            <w:r>
              <w:rPr>
                <w:rFonts w:ascii="Times New Roman" w:hAnsi="Times New Roman" w:eastAsia="宋体" w:cs="Times New Roman"/>
                <w:sz w:val="24"/>
              </w:rPr>
              <w:t>万兆以太网接入交换机</w:t>
            </w:r>
          </w:p>
        </w:tc>
        <w:tc>
          <w:tcPr>
            <w:tcW w:w="3457" w:type="pct"/>
          </w:tcPr>
          <w:p>
            <w:pPr>
              <w:rPr>
                <w:rFonts w:ascii="Times New Roman" w:hAnsi="Times New Roman" w:eastAsia="宋体" w:cs="Times New Roman"/>
                <w:sz w:val="24"/>
              </w:rPr>
            </w:pPr>
            <w:r>
              <w:rPr>
                <w:rFonts w:ascii="Times New Roman" w:hAnsi="Times New Roman" w:eastAsia="宋体" w:cs="Times New Roman"/>
                <w:sz w:val="24"/>
              </w:rPr>
              <w:t>1、整机交换容量≥2.5Tbps；包转发率≥240Mpps；</w:t>
            </w:r>
          </w:p>
          <w:p>
            <w:pPr>
              <w:rPr>
                <w:rFonts w:ascii="Times New Roman" w:hAnsi="Times New Roman" w:eastAsia="宋体" w:cs="Times New Roman"/>
                <w:sz w:val="24"/>
              </w:rPr>
            </w:pPr>
            <w:r>
              <w:rPr>
                <w:rFonts w:ascii="Times New Roman" w:hAnsi="Times New Roman" w:eastAsia="宋体" w:cs="Times New Roman"/>
                <w:sz w:val="24"/>
              </w:rPr>
              <w:t>2、≥16个1/10G SFP Plus端口</w:t>
            </w:r>
          </w:p>
          <w:p>
            <w:pPr>
              <w:rPr>
                <w:rFonts w:ascii="Times New Roman" w:hAnsi="Times New Roman" w:eastAsia="宋体" w:cs="Times New Roman"/>
                <w:sz w:val="24"/>
              </w:rPr>
            </w:pPr>
            <w:r>
              <w:rPr>
                <w:rFonts w:ascii="Times New Roman" w:hAnsi="Times New Roman" w:eastAsia="宋体" w:cs="Times New Roman"/>
                <w:sz w:val="24"/>
              </w:rPr>
              <w:t>3、支持IRF2（第二代智能弹性架构）技术；支持VXLAN；</w:t>
            </w:r>
          </w:p>
          <w:p>
            <w:pPr>
              <w:rPr>
                <w:rFonts w:ascii="Times New Roman" w:hAnsi="Times New Roman" w:eastAsia="宋体" w:cs="Times New Roman"/>
                <w:sz w:val="24"/>
              </w:rPr>
            </w:pPr>
            <w:r>
              <w:rPr>
                <w:rFonts w:ascii="Times New Roman" w:hAnsi="Times New Roman" w:eastAsia="宋体" w:cs="Times New Roman"/>
                <w:sz w:val="24"/>
              </w:rPr>
              <w:t>4、支持AAA，RADIUS认证，支持用户帐号、IP、MAC、VLAN、端口等用户标识元素的动态或静态绑定；支持丰富的管理接口，例如Console、带外网口、USB口，支持SNMPv1/V2/v3；</w:t>
            </w:r>
          </w:p>
          <w:p>
            <w:pPr>
              <w:rPr>
                <w:rFonts w:ascii="Times New Roman" w:hAnsi="Times New Roman" w:eastAsia="宋体" w:cs="Times New Roman"/>
                <w:sz w:val="24"/>
              </w:rPr>
            </w:pPr>
            <w:r>
              <w:rPr>
                <w:rFonts w:ascii="Times New Roman" w:hAnsi="Times New Roman" w:eastAsia="宋体" w:cs="Times New Roman"/>
                <w:sz w:val="24"/>
              </w:rPr>
              <w:t>5、支持IPv4、IPv6静态路由，RIP等三层动态路由协议、支持策略路由器、支持RIP v1/2、RIPng、支持等价路由、VRRP、OSPFv1/v2、OSPF v3、BGP、ISIS等增强三层路由协议。</w:t>
            </w:r>
          </w:p>
        </w:tc>
      </w:tr>
    </w:tbl>
    <w:p>
      <w:pPr>
        <w:spacing w:line="480" w:lineRule="exact"/>
        <w:jc w:val="left"/>
        <w:rPr>
          <w:rFonts w:ascii="Times New Roman" w:hAnsi="Times New Roman" w:cs="Times New Roman"/>
          <w:b/>
          <w:bCs/>
          <w:sz w:val="28"/>
          <w:szCs w:val="36"/>
        </w:rPr>
      </w:pPr>
      <w:r>
        <w:rPr>
          <w:rFonts w:ascii="Times New Roman" w:hAnsi="Times New Roman" w:cs="Times New Roman"/>
          <w:b/>
          <w:bCs/>
          <w:sz w:val="28"/>
          <w:szCs w:val="36"/>
        </w:rPr>
        <w:t>三、资质要求</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1、投标人具有独立承担民事责任的能力。</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2、投标人具有良好的商业信誉和健全的财务会计制度。</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3、投标人具有依法缴纳税收和社会保障资金的良好记录。</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4、投标人参加本次采购活动前三年内，在经营活动中没有重大违法记录。</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5、投标人需提供公司营业执照，销售代表授权</w:t>
      </w:r>
      <w:r>
        <w:rPr>
          <w:rFonts w:hint="eastAsia" w:ascii="Times New Roman" w:hAnsi="Times New Roman" w:eastAsia="宋体" w:cs="Times New Roman"/>
          <w:sz w:val="28"/>
          <w:szCs w:val="28"/>
        </w:rPr>
        <w:t>，</w:t>
      </w:r>
      <w:r>
        <w:rPr>
          <w:rFonts w:ascii="Times New Roman" w:hAnsi="Times New Roman" w:eastAsia="宋体" w:cs="Times New Roman"/>
          <w:sz w:val="28"/>
          <w:szCs w:val="28"/>
        </w:rPr>
        <w:t>身份证复印件等相关资质，需盖公章。</w:t>
      </w:r>
    </w:p>
    <w:p>
      <w:pPr>
        <w:spacing w:line="480" w:lineRule="exact"/>
        <w:jc w:val="left"/>
        <w:rPr>
          <w:rFonts w:ascii="Times New Roman" w:hAnsi="Times New Roman" w:eastAsia="宋体" w:cs="Times New Roman"/>
          <w:b/>
          <w:bCs/>
          <w:sz w:val="28"/>
          <w:szCs w:val="28"/>
        </w:rPr>
      </w:pPr>
      <w:r>
        <w:rPr>
          <w:rFonts w:ascii="Times New Roman" w:hAnsi="Times New Roman" w:eastAsia="宋体" w:cs="Times New Roman"/>
          <w:b/>
          <w:bCs/>
          <w:sz w:val="28"/>
          <w:szCs w:val="28"/>
        </w:rPr>
        <w:t>四、其他要求</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1、产品发生任何变更时应立即通知采购人。</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2、产品在使用过程中出现异常，供应商应立即派人进行调查指导。</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3、产品在有效期内出现质量问题，供应商应负责及时免费退换。</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4、保证产品持续供应，若出现严重质量问题或存在严重质量隐患时，采购人有权中止合同。</w:t>
      </w:r>
    </w:p>
    <w:p>
      <w:pPr>
        <w:spacing w:line="480" w:lineRule="exact"/>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5、投标人以产品单价进行报价。</w:t>
      </w:r>
    </w:p>
    <w:p>
      <w:pPr>
        <w:spacing w:line="480" w:lineRule="exact"/>
        <w:ind w:firstLine="560" w:firstLineChars="200"/>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6、投标人</w:t>
      </w:r>
      <w:r>
        <w:rPr>
          <w:rFonts w:ascii="Times New Roman" w:hAnsi="Times New Roman" w:eastAsia="宋体" w:cs="Times New Roman"/>
          <w:sz w:val="28"/>
          <w:szCs w:val="28"/>
        </w:rPr>
        <w:t>提供该项目相关系统集成工作，提供本项目所需或涉及接口并配合涉及本项目与第三方平台的对接工作</w:t>
      </w:r>
      <w:r>
        <w:rPr>
          <w:rFonts w:hint="eastAsia" w:ascii="Times New Roman" w:hAnsi="Times New Roman" w:eastAsia="宋体" w:cs="Times New Roman"/>
          <w:sz w:val="28"/>
          <w:szCs w:val="28"/>
        </w:rPr>
        <w:t>,不额外产生费用</w:t>
      </w:r>
      <w:r>
        <w:rPr>
          <w:rFonts w:ascii="Times New Roman" w:hAnsi="Times New Roman" w:eastAsia="宋体" w:cs="Times New Roman"/>
          <w:sz w:val="28"/>
          <w:szCs w:val="28"/>
        </w:rPr>
        <w:t>。</w:t>
      </w:r>
    </w:p>
    <w:p>
      <w:pPr>
        <w:spacing w:line="480" w:lineRule="exact"/>
        <w:ind w:firstLine="560" w:firstLineChars="200"/>
        <w:jc w:val="left"/>
        <w:rPr>
          <w:rFonts w:ascii="Times New Roman" w:hAnsi="Times New Roman" w:eastAsia="宋体" w:cs="Times New Roman"/>
          <w:color w:val="auto"/>
          <w:sz w:val="28"/>
          <w:szCs w:val="28"/>
        </w:rPr>
      </w:pPr>
      <w:r>
        <w:rPr>
          <w:rFonts w:hint="eastAsia" w:ascii="Times New Roman" w:hAnsi="Times New Roman" w:eastAsia="宋体" w:cs="Times New Roman"/>
          <w:color w:val="auto"/>
          <w:sz w:val="28"/>
          <w:szCs w:val="28"/>
        </w:rPr>
        <w:t>7、投标人</w:t>
      </w:r>
      <w:r>
        <w:rPr>
          <w:rFonts w:ascii="Times New Roman" w:hAnsi="Times New Roman" w:eastAsia="宋体" w:cs="Times New Roman"/>
          <w:color w:val="auto"/>
          <w:sz w:val="28"/>
          <w:szCs w:val="28"/>
        </w:rPr>
        <w:t>负责本次项目设备安装及调试</w:t>
      </w:r>
      <w:r>
        <w:rPr>
          <w:rFonts w:hint="eastAsia" w:ascii="Times New Roman" w:hAnsi="Times New Roman" w:eastAsia="宋体" w:cs="Times New Roman"/>
          <w:color w:val="auto"/>
          <w:sz w:val="28"/>
          <w:szCs w:val="28"/>
        </w:rPr>
        <w:t>，</w:t>
      </w:r>
      <w:r>
        <w:rPr>
          <w:rFonts w:ascii="Times New Roman" w:hAnsi="Times New Roman" w:eastAsia="宋体" w:cs="Times New Roman"/>
          <w:color w:val="auto"/>
          <w:sz w:val="28"/>
          <w:szCs w:val="28"/>
        </w:rPr>
        <w:t>安装及调试不额外产生费用。</w:t>
      </w:r>
    </w:p>
    <w:p>
      <w:pPr>
        <w:spacing w:line="480" w:lineRule="exact"/>
        <w:jc w:val="left"/>
        <w:rPr>
          <w:rFonts w:ascii="Times New Roman" w:hAnsi="Times New Roman" w:eastAsia="宋体" w:cs="Times New Roman"/>
          <w:b/>
          <w:bCs/>
          <w:color w:val="auto"/>
          <w:sz w:val="28"/>
          <w:szCs w:val="28"/>
        </w:rPr>
      </w:pPr>
      <w:r>
        <w:rPr>
          <w:rFonts w:ascii="Times New Roman" w:hAnsi="Times New Roman" w:eastAsia="宋体" w:cs="Times New Roman"/>
          <w:b/>
          <w:bCs/>
          <w:color w:val="auto"/>
          <w:sz w:val="28"/>
          <w:szCs w:val="28"/>
        </w:rPr>
        <w:t>五、预算金额</w:t>
      </w:r>
    </w:p>
    <w:p>
      <w:pPr>
        <w:spacing w:line="480" w:lineRule="exact"/>
        <w:ind w:firstLine="560" w:firstLineChars="200"/>
        <w:jc w:val="left"/>
        <w:rPr>
          <w:rFonts w:ascii="Times New Roman" w:hAnsi="Times New Roman" w:eastAsia="宋体" w:cs="Times New Roman"/>
          <w:color w:val="auto"/>
          <w:sz w:val="28"/>
          <w:szCs w:val="28"/>
        </w:rPr>
      </w:pPr>
      <w:r>
        <w:rPr>
          <w:rFonts w:ascii="Times New Roman" w:hAnsi="Times New Roman" w:eastAsia="宋体" w:cs="Times New Roman"/>
          <w:color w:val="auto"/>
          <w:sz w:val="28"/>
          <w:szCs w:val="28"/>
        </w:rPr>
        <w:t>本项目预算金额</w:t>
      </w:r>
      <w:r>
        <w:rPr>
          <w:rFonts w:hint="eastAsia" w:ascii="Times New Roman" w:hAnsi="Times New Roman" w:eastAsia="宋体" w:cs="Times New Roman"/>
          <w:color w:val="auto"/>
          <w:sz w:val="28"/>
          <w:szCs w:val="28"/>
        </w:rPr>
        <w:t>15</w:t>
      </w:r>
      <w:r>
        <w:rPr>
          <w:rFonts w:ascii="Times New Roman" w:hAnsi="Times New Roman" w:eastAsia="宋体" w:cs="Times New Roman"/>
          <w:color w:val="auto"/>
          <w:sz w:val="28"/>
          <w:szCs w:val="28"/>
        </w:rPr>
        <w:t>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CD79B"/>
    <w:multiLevelType w:val="singleLevel"/>
    <w:tmpl w:val="A4FCD79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UwMjUwYTVmZTNmZmRkY2M3Njg1NDk0MzZlODVlNWYifQ=="/>
  </w:docVars>
  <w:rsids>
    <w:rsidRoot w:val="001B157D"/>
    <w:rsid w:val="000111A0"/>
    <w:rsid w:val="00102892"/>
    <w:rsid w:val="001B157D"/>
    <w:rsid w:val="00330CD2"/>
    <w:rsid w:val="00386999"/>
    <w:rsid w:val="009B04B8"/>
    <w:rsid w:val="07C210E4"/>
    <w:rsid w:val="0CC23D43"/>
    <w:rsid w:val="0DCC5AA3"/>
    <w:rsid w:val="18582EC8"/>
    <w:rsid w:val="22EA1270"/>
    <w:rsid w:val="27BA6FA1"/>
    <w:rsid w:val="46F74A30"/>
    <w:rsid w:val="478015E2"/>
    <w:rsid w:val="526728BE"/>
    <w:rsid w:val="532D41C0"/>
    <w:rsid w:val="579D1939"/>
    <w:rsid w:val="5E1F01F8"/>
    <w:rsid w:val="68060525"/>
    <w:rsid w:val="6EAE3F34"/>
    <w:rsid w:val="76DF522A"/>
    <w:rsid w:val="7BD41C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rPr>
  </w:style>
  <w:style w:type="paragraph" w:styleId="3">
    <w:name w:val="Subtitle"/>
    <w:basedOn w:val="1"/>
    <w:next w:val="1"/>
    <w:qFormat/>
    <w:uiPriority w:val="0"/>
    <w:pPr>
      <w:spacing w:line="312" w:lineRule="auto"/>
      <w:jc w:val="left"/>
      <w:outlineLvl w:val="1"/>
    </w:pPr>
    <w:rPr>
      <w:rFonts w:ascii="Cambria" w:hAnsi="Cambria"/>
      <w:b/>
      <w:bCs/>
      <w:kern w:val="28"/>
      <w:szCs w:val="32"/>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0"/>
    <w:rPr>
      <w:kern w:val="2"/>
      <w:sz w:val="18"/>
      <w:szCs w:val="18"/>
    </w:rPr>
  </w:style>
  <w:style w:type="character" w:customStyle="1" w:styleId="10">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1502</Words>
  <Characters>2053</Characters>
  <Lines>15</Lines>
  <Paragraphs>4</Paragraphs>
  <TotalTime>0</TotalTime>
  <ScaleCrop>false</ScaleCrop>
  <LinksUpToDate>false</LinksUpToDate>
  <CharactersWithSpaces>2109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2022-05-23T08:37:00Z</dcterms:created>
  <dc:creator>Dell</dc:creator>
  <cp:lastModifiedBy>Dell</cp:lastModifiedBy>
  <dcterms:modified xsi:type="dcterms:W3CDTF">2022-05-24T02:22:18Z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22896CCF695F4EC4B237041448173333</vt:lpwstr>
  </property>
</Properties>
</file>