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 w:eastAsiaTheme="minorEastAsia"/>
          <w:b/>
          <w:bCs/>
          <w:sz w:val="36"/>
          <w:szCs w:val="36"/>
          <w:lang w:eastAsia="zh-CN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七</w:t>
      </w:r>
      <w:r>
        <w:rPr>
          <w:rFonts w:hint="default" w:ascii="Times New Roman" w:hAnsi="Times New Roman" w:cs="Times New Roman"/>
          <w:b/>
          <w:bCs/>
          <w:sz w:val="36"/>
          <w:szCs w:val="36"/>
          <w:lang w:eastAsia="zh-CN"/>
        </w:rPr>
        <w:t>：</w:t>
      </w:r>
    </w:p>
    <w:p>
      <w:pPr>
        <w:jc w:val="center"/>
        <w:rPr>
          <w:rFonts w:hint="default" w:ascii="Times New Roman" w:hAnsi="Times New Roman" w:cs="Times New Roman"/>
          <w:b/>
          <w:bCs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科研试剂</w:t>
      </w:r>
      <w:r>
        <w:rPr>
          <w:rFonts w:hint="default" w:ascii="Times New Roman" w:hAnsi="Times New Roman" w:cs="Times New Roman"/>
          <w:b/>
          <w:bCs/>
          <w:sz w:val="36"/>
          <w:szCs w:val="36"/>
        </w:rPr>
        <w:t>要求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一、产品用途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用于</w:t>
      </w:r>
      <w:r>
        <w:rPr>
          <w:rFonts w:hint="default" w:ascii="Times New Roman" w:hAnsi="Times New Roman" w:eastAsia="宋体" w:cs="Times New Roman"/>
          <w:sz w:val="28"/>
          <w:szCs w:val="28"/>
        </w:rPr>
        <w:t>中心在研科研课题、血小板供者库建设以及血液研究室日常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实验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产品清单</w:t>
      </w:r>
    </w:p>
    <w:tbl>
      <w:tblPr>
        <w:tblStyle w:val="4"/>
        <w:tblW w:w="499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6465"/>
        <w:gridCol w:w="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7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名称</w:t>
            </w:r>
            <w:bookmarkStart w:id="0" w:name="_GoBack"/>
            <w:bookmarkEnd w:id="0"/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FITC-鼠抗人IgG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FITC Mouse IgG1 κ 同型对照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MMA试剂盒（ELISA）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甲基丙二酸MMA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PWM刺激剂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细胞培养液（1640/DMEM)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细胞培养抗生素（青霉素/链霉素）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胎牛血清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人血液基因组DNA提取试剂盒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APC抗人CD36抗体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流式鞘液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10桶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流式清洗液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流式冲洗液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50XTAE缓冲液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miRcute增强型 miRNA 荧光定量检测试剂盒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miRcute增强型 miRNA cDNA第一链合成试剂盒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FastKing一步法除基因组cDNA第一链合成预混试剂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1.5mlEP管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10ul移液枪吸头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200ul移液枪吸头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1000ul移液枪吸头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人淋巴细胞分离液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10瓶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人淋巴细胞培养基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PerforinElisa 试剂盒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IFN-γElisa 试剂盒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granzymeB Elisa 试剂盒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白介素2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抗人CD3抗体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抗人CD56流式抗体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抗人CD16流式抗体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抗人CD107a流式抗体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抗人CD4流式抗体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抗人CD8流式抗体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0.22μm 滤器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T25cm2细胞瓶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100个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T75cm2 细胞瓶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100个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6×DNA上样缓冲液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GoldView II型核酸染色剂(5000×)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D2000 DNA Ladder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D2000 plus DNA Ladder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7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MarkerⅠDNA Ladder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2支</w:t>
            </w:r>
          </w:p>
        </w:tc>
      </w:tr>
    </w:tbl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>注：投标人根据此清单报单价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、资质要求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具有独立承担民事责任的能力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具有良好的商业信誉和健全的财务会计制度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具有依法缴纳税收和社会保障资金的良好记录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参加本次采购活动前三年内，在经营活动中没有重大违法记录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</w:t>
      </w:r>
      <w:r>
        <w:rPr>
          <w:rFonts w:hint="default" w:ascii="Times New Roman" w:hAnsi="Times New Roman" w:eastAsia="宋体" w:cs="Times New Roman"/>
          <w:sz w:val="28"/>
          <w:szCs w:val="28"/>
        </w:rPr>
        <w:t>提供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公司营业执照，生产</w:t>
      </w:r>
      <w:r>
        <w:rPr>
          <w:rFonts w:hint="default" w:ascii="Times New Roman" w:hAnsi="Times New Roman" w:eastAsia="宋体" w:cs="Times New Roman"/>
          <w:sz w:val="28"/>
          <w:szCs w:val="28"/>
        </w:rPr>
        <w:t>厂家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营业执照、</w:t>
      </w:r>
      <w:r>
        <w:rPr>
          <w:rFonts w:hint="default" w:ascii="Times New Roman" w:hAnsi="Times New Roman" w:eastAsia="宋体" w:cs="Times New Roman"/>
          <w:sz w:val="28"/>
          <w:szCs w:val="28"/>
        </w:rPr>
        <w:t>授权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销售代表授权、</w:t>
      </w:r>
      <w:r>
        <w:rPr>
          <w:rFonts w:hint="default" w:ascii="Times New Roman" w:hAnsi="Times New Roman" w:eastAsia="宋体" w:cs="Times New Roman"/>
          <w:sz w:val="28"/>
          <w:szCs w:val="28"/>
        </w:rPr>
        <w:t>身份证复印件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等相关资质，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需盖公章。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四、部分产品要求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 xml:space="preserve"> FITC-鼠抗人IgG单抗：进口试剂，能用于流式细胞术检测，2mL/瓶。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FITC Mouse IgG1κ同型对照：进口试剂，能用于流式细胞术检测，2mL/瓶。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3、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人血液基因组DNA提取试剂盒：样本适用广泛，要求能从抗凝血（EDTA，肝素等）、白膜层和血凝块等样品中直接提取基因组DNA；同时，纯化的DNA要具有高浓度，高纯度，完整性好等特点，满足芯片杂交，高通量测序等实验需求；实验耗时短，能在1小时内完成实验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4、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 xml:space="preserve"> APC抗人CD36抗体：试剂高效稳定，特异性强，不产生非特异性荧光。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5、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流式鞘液，清洗液，冲洗液：外观无破损污渍，试剂净含量达标，溶液PH值合格，适用于艾森流式细胞仪。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6、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 xml:space="preserve"> 50×TAE缓冲液：缓冲液应含有0.01-0.04mol/L Na+离子，EDTA浓度为1-2mmol/L,PH为8.3。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7、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miRcute增强型miRNA荧光定量检测试剂盒：要求反应特异性好，灵敏度高，能在广范围内进行准确定量；预混荧光染料SYBR Green I；耗时短，1.5小时内能完成实验。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8、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miRcute增强型miRNA cDNA第一链合成试剂盒：特异性强，能最大程度避免具有二级结构的miRNA前体进行逆转录反应；灵敏度高，能检出低丰度miRNA的检出率，检出浓度能达到20pg-2ug和10Fm-100pM。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 xml:space="preserve">9、 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Fastking一步法除基因组cDNA第一链合成预混试剂：要求操作简单快速，能在25分钟内完成cDNA合成；能适用高GC含量，二级结构复杂的RNA模板；兼容性高，能配合后续荧光定量检测产品，灵敏度高，稳定性好。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10、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1.5mlEP管：进口耗材，无RNA/DNA酶，耐用、耐化学腐蚀；平盖，密封性能良好且方便开启；耐高温高压灭菌；带刻度，带书写区，可承受20000g离心力。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11、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10ul,200ul,1000ul移液枪吸头：进口耗材，无RNA/DNA酶，透明度和灵活度高，能精准分液，具有稳定性，不含生物活性成分等污染因素。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12、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6×DNA上样缓冲液：缓冲液稳定，灵敏度高。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13、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GoldView II型核酸染色剂：染色剂稳定，灵敏度高，能与DNA特异性结合。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14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D2000 DNA ladder、D2000 plus DNA ladder、marker I DNA Ladder：DNA片段稳定，条带清晰明亮，浓度高每次用量少。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15、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人（Human）甲基丙二酸ELISA检测试剂盒：准确性：标准品线性回归与预期浓度相关系数R值大于或等于0.99；灵敏度：最低检测范围小于1.0 nmol/L；检测范围：可检出MMA最低浓度与最高浓度应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sym w:font="Symbol" w:char="F03E"/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100倍；特异性：不可与其他血浆内其它可溶性结构类似物交叉反应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：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稳定性：各个酶标板板内，酶标板间变异系数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sym w:font="Symbol" w:char="F03C"/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15%；样本要求：可检测的样本包括但不限于人源血浆、血清等规格：96孔/板。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16、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甲基丙二酸(别名甲基马来酸)：包装规格：25g左右，不易太大或太小规格包装；分析纯度&gt; 98%,纯度越高越好; 实验室科研用试剂非化工业试剂。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17、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 xml:space="preserve">PWM刺激剂：包装规格：5 mg左右，不易太大或太小规格包装；属实验室科研用试剂非化工业试剂;分析纯度&gt; 98%,纯度越高越好。 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18、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荧光标记的Anti-Human CD4流式抗体：标记的荧光素为非FITC，且与CD8抗体标记的荧光素不同；稳定性高、特异性好，不产生非特异性荧光；包装需避光。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19、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荧光标记的Anti-Human CD8流式抗体：标记的荧光素为非FITC，且与标记CD4抗体的荧光素不同；稳定性高、特异性好，不产生非特异性荧光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：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包装需避光。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20、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人淋巴细胞分离液:包装规格：200ml;密度：1.077±0.001g/mL；渗透压：290~350 mOsm/kg H2O；无菌，无热原，无内毒素;质检合格。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21、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1640培养液：包装规格：500ml；无菌；容器材质：医疗级聚丙烯；质检合格。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22、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 xml:space="preserve">胎牛血清：包装规格：100-500ml;无菌；容器材质：医疗级聚丙烯；研究领域的常见细胞类型培养用；质检合格。  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23、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人淋巴细胞培养基：包装规格：200-500ml;无菌；含BSS＋21种氨基酸＋维生素11种等细胞生长所需物质；容器材质：医疗级聚丙烯；质检合格。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24、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Perforin Elisa 试剂盒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：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规格：48T/96T; 最低检测浓度：0.1 nmol/L；检测范围：可检出Perforin最低浓度与最高浓度应100倍；特异性：不可与其他血浆内其它可溶性结构类似物交叉反应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；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准确度：标准品线性回归与预期浓度相关系数R值大于或等于0.99；样本要求：可检测的样本包括但不限于人源血浆、血清等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：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稳定性：酶标板板内及板间变异系数均10%。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25、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 xml:space="preserve">IFN-γ Elisa 试剂盒 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：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规格：48T/96T；最低检测浓度：20ng/L；检测范围：可检出IFN-γ最低浓度与最高浓度应200倍；特异性：不可与其他血浆内其它可溶性结构类似物交叉反应。准确度：标准品线性回归与预期浓度相关系数R值大于或等于0.92；样本要求：可检测的样本包括但不限于人源血浆、血清等。稳定性：酶标板板内及板间变异系数均10%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26、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granzymeB Elisa 试剂盒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：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规格：48T/96T；最低检测浓度： 0.938pg/ml；检测范围：可检出浓度1.563-100pg/ml；特异性：不可与其他血浆内其它可溶性结构类似物交叉反应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；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准确度：标准品线性回归与预期浓度相关系数R值大于或等于0.99；样本要求：可检测的样本包括但不限于人源血浆、血清等；稳定性：酶标板板内及板间变异系数均10%。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27、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白介素2：规格：10ug/支；纯度：SDS-PAGE电泳检测纯度&gt;95%; 内毒素：小于0.01 EU/μg; 稳定性：在-20℃保存一年稳定；GMP级，用于细胞培养。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28、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抗人CD3单克隆抗体：规格：500ug/支；纯度：SDS-PAGE电泳检测纯度&gt;95%; 内毒素：小于0.01 EU/μg; 稳定性：在-20℃保存一年稳定；GMP级，用于细胞培养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29、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荧光标记抗人CD56抗体：用于流式细胞仪检测； 稳定性高、特异性好，不产生非特异性荧光。满足同时检测CD16抗体及CD3抗体，标记的荧光染料激发光不互相干扰。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30、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荧光标记抗人CD16抗体：①用于流式细胞仪检测； ②稳定性高、特异性好，不产生非特异性荧光。③同时检测CD56抗体及CD3抗体，标记的荧光染料激发光不互相干扰；④BD公司生产。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31、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荧光标记抗人CD107a抗体：用于流式细胞仪检测；稳定性高、特异性好，不产生非特异性荧光。同时检测CD56抗体，标记的荧光染料激发光不互相干扰。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32、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0.22μm 滤器：进口产品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；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规格：直径13mm ，5-100个/盒，独立包装；孔径：0.22μm; 外壳材质：医疗级聚丙烯；滤膜材质：醋酸纤维素膜或聚醚砜树脂膜；无菌，无DNA /RNA酶，无热原，无内毒素；用于组织培养介质制备。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33、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T25cm2细胞培养瓶：进口产品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；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规格：25cm²，12-100个/包，独立包装；材质：医疗级聚丙烯，符合USP-Class VI标准；无菌，无热原，无内毒素；良好的气体通透性；外观：高透明度 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34、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T75cm2 细胞培养瓶：进口产品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；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规格：75cm²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eastAsia="zh-CN" w:bidi="ar"/>
        </w:rPr>
        <w:t>，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12-100个/包，独立包装； 材质：医疗级聚丙烯，符合USP-Class VI标准；无菌，无热原，无内毒素；良好的气体通透性；外观：高透明度。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</w:pP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35、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bidi="ar"/>
        </w:rPr>
        <w:t>细胞培养用抗生素：100ml规格，满足常规细胞培养需求，含青霉素和链霉素浓度不低于每毫升包含 10000 单位青霉素(碱)和 10000 µg 链霉素(碱)，高浓度母液保存，无需配制，可直接使用。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商务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要求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Cs/>
          <w:sz w:val="28"/>
          <w:szCs w:val="28"/>
          <w:lang w:val="en-US" w:eastAsia="zh-CN" w:bidi="ar"/>
        </w:rPr>
        <w:t>1、</w:t>
      </w:r>
      <w:r>
        <w:rPr>
          <w:rFonts w:hint="default" w:ascii="Times New Roman" w:hAnsi="Times New Roman" w:eastAsia="宋体" w:cs="Times New Roman"/>
          <w:bCs/>
          <w:sz w:val="28"/>
          <w:szCs w:val="28"/>
          <w:lang w:val="en-US" w:eastAsia="zh-CN" w:bidi="ar"/>
        </w:rPr>
        <w:t>发货前保证最新批号，检测过程中能及时提供技术支持，如果试剂有质量问题及时免费更换。</w:t>
      </w:r>
    </w:p>
    <w:p>
      <w:pPr>
        <w:pStyle w:val="2"/>
        <w:ind w:firstLine="560" w:firstLineChars="200"/>
        <w:rPr>
          <w:rFonts w:hint="default" w:ascii="Times New Roman" w:hAnsi="Times New Roman" w:eastAsia="宋体" w:cs="Times New Roman"/>
          <w:bCs/>
          <w:kern w:val="2"/>
          <w:sz w:val="28"/>
          <w:szCs w:val="28"/>
          <w:lang w:val="en-US" w:eastAsia="zh-CN" w:bidi="ar"/>
        </w:rPr>
      </w:pPr>
      <w:r>
        <w:rPr>
          <w:rFonts w:hint="eastAsia" w:eastAsia="宋体" w:cs="Times New Roman"/>
          <w:bCs/>
          <w:kern w:val="2"/>
          <w:sz w:val="28"/>
          <w:szCs w:val="28"/>
          <w:lang w:val="en-US" w:eastAsia="zh-CN" w:bidi="ar"/>
        </w:rPr>
        <w:t>2、根据试剂储存要求进行常温或冷链运输，试剂</w:t>
      </w:r>
      <w:r>
        <w:rPr>
          <w:rFonts w:hint="eastAsia" w:ascii="Times New Roman" w:hAnsi="Times New Roman" w:eastAsia="宋体" w:cs="Times New Roman"/>
          <w:bCs/>
          <w:kern w:val="2"/>
          <w:sz w:val="28"/>
          <w:szCs w:val="28"/>
          <w:lang w:val="en-US" w:eastAsia="zh-CN" w:bidi="ar"/>
        </w:rPr>
        <w:t>无破损，</w:t>
      </w:r>
      <w:r>
        <w:rPr>
          <w:rFonts w:hint="eastAsia" w:eastAsia="宋体" w:cs="Times New Roman"/>
          <w:bCs/>
          <w:kern w:val="2"/>
          <w:sz w:val="28"/>
          <w:szCs w:val="28"/>
          <w:lang w:val="en-US" w:eastAsia="zh-CN" w:bidi="ar"/>
        </w:rPr>
        <w:t>所有试剂按照采购人实际需求进行送货，保证采购人收到</w:t>
      </w:r>
      <w:r>
        <w:rPr>
          <w:rFonts w:hint="eastAsia" w:ascii="Times New Roman" w:hAnsi="Times New Roman" w:eastAsia="宋体" w:cs="Times New Roman"/>
          <w:bCs/>
          <w:kern w:val="2"/>
          <w:sz w:val="28"/>
          <w:szCs w:val="28"/>
          <w:lang w:val="en-US" w:eastAsia="zh-CN" w:bidi="ar"/>
        </w:rPr>
        <w:t>试剂</w:t>
      </w:r>
      <w:r>
        <w:rPr>
          <w:rFonts w:hint="eastAsia" w:eastAsia="宋体" w:cs="Times New Roman"/>
          <w:bCs/>
          <w:kern w:val="2"/>
          <w:sz w:val="28"/>
          <w:szCs w:val="28"/>
          <w:lang w:val="en-US" w:eastAsia="zh-CN" w:bidi="ar"/>
        </w:rPr>
        <w:t>时</w:t>
      </w:r>
      <w:r>
        <w:rPr>
          <w:rFonts w:hint="eastAsia" w:ascii="Times New Roman" w:hAnsi="Times New Roman" w:eastAsia="宋体" w:cs="Times New Roman"/>
          <w:bCs/>
          <w:kern w:val="2"/>
          <w:sz w:val="28"/>
          <w:szCs w:val="28"/>
          <w:lang w:val="en-US" w:eastAsia="zh-CN" w:bidi="ar"/>
        </w:rPr>
        <w:t>在有效期内</w:t>
      </w:r>
      <w:r>
        <w:rPr>
          <w:rFonts w:hint="eastAsia" w:eastAsia="宋体" w:cs="Times New Roman"/>
          <w:bCs/>
          <w:kern w:val="2"/>
          <w:sz w:val="28"/>
          <w:szCs w:val="28"/>
          <w:lang w:val="en-US" w:eastAsia="zh-CN" w:bidi="ar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六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、预算金额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项目预算为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10.93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万元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97D18A"/>
    <w:multiLevelType w:val="singleLevel"/>
    <w:tmpl w:val="6E97D18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144524A"/>
    <w:rsid w:val="03DF049D"/>
    <w:rsid w:val="06A523E4"/>
    <w:rsid w:val="09043624"/>
    <w:rsid w:val="0B3C52AE"/>
    <w:rsid w:val="0D3D5A4F"/>
    <w:rsid w:val="0EA25C91"/>
    <w:rsid w:val="1127611A"/>
    <w:rsid w:val="1153157D"/>
    <w:rsid w:val="121110F2"/>
    <w:rsid w:val="13181D61"/>
    <w:rsid w:val="182D59F2"/>
    <w:rsid w:val="18D709BA"/>
    <w:rsid w:val="20461E6E"/>
    <w:rsid w:val="25486DA0"/>
    <w:rsid w:val="268F6A80"/>
    <w:rsid w:val="270C4C47"/>
    <w:rsid w:val="27F05C95"/>
    <w:rsid w:val="2E522A40"/>
    <w:rsid w:val="365D1DBE"/>
    <w:rsid w:val="37076D51"/>
    <w:rsid w:val="37686F94"/>
    <w:rsid w:val="3CF41643"/>
    <w:rsid w:val="3EA6146F"/>
    <w:rsid w:val="3FA71ED1"/>
    <w:rsid w:val="41EB2EEA"/>
    <w:rsid w:val="441920BB"/>
    <w:rsid w:val="45303E87"/>
    <w:rsid w:val="45682F0F"/>
    <w:rsid w:val="4921579A"/>
    <w:rsid w:val="4A7369ED"/>
    <w:rsid w:val="4D211F1A"/>
    <w:rsid w:val="4FEC0322"/>
    <w:rsid w:val="50CB5544"/>
    <w:rsid w:val="514F63DE"/>
    <w:rsid w:val="536E62E4"/>
    <w:rsid w:val="56C6223F"/>
    <w:rsid w:val="595D1779"/>
    <w:rsid w:val="5A8C73DF"/>
    <w:rsid w:val="63220A8B"/>
    <w:rsid w:val="63E62597"/>
    <w:rsid w:val="64C230DE"/>
    <w:rsid w:val="65706346"/>
    <w:rsid w:val="69B70925"/>
    <w:rsid w:val="6BCD06D0"/>
    <w:rsid w:val="6DE10A70"/>
    <w:rsid w:val="705D79EC"/>
    <w:rsid w:val="73654053"/>
    <w:rsid w:val="75A006FE"/>
    <w:rsid w:val="7B0B11AA"/>
    <w:rsid w:val="7B1927B7"/>
    <w:rsid w:val="7BB14E77"/>
    <w:rsid w:val="7BE807D8"/>
    <w:rsid w:val="7CBB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3159</Words>
  <Characters>4100</Characters>
  <Lines>0</Lines>
  <Paragraphs>0</Paragraphs>
  <TotalTime>0</TotalTime>
  <ScaleCrop>false</ScaleCrop>
  <LinksUpToDate>false</LinksUpToDate>
  <CharactersWithSpaces>4184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2022-05-11T06:06:58Z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421B6CC514784F5ABE627EAFD13566E5</vt:lpwstr>
  </property>
</Properties>
</file>