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580" w:lineRule="exact"/>
        <w:rPr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zh-CN"/>
        </w:rPr>
      </w:pPr>
      <w:r>
        <w:rPr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zh-CN"/>
        </w:rPr>
        <w:t>附件二：</w:t>
      </w:r>
    </w:p>
    <w:p>
      <w:pPr>
        <w:pStyle w:val="2"/>
        <w:numPr>
          <w:ilvl w:val="1"/>
          <w:numId w:val="0"/>
        </w:numPr>
        <w:ind w:leftChars="0"/>
        <w:jc w:val="center"/>
        <w:rPr>
          <w:rFonts w:hint="default" w:ascii="宋体" w:hAnsi="宋体" w:eastAsia="宋体" w:cs="宋体"/>
          <w:b/>
          <w:bCs w:val="0"/>
          <w:color w:val="000000"/>
          <w:kern w:val="1"/>
          <w:sz w:val="36"/>
          <w:szCs w:val="44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000000"/>
          <w:kern w:val="1"/>
          <w:sz w:val="36"/>
          <w:szCs w:val="44"/>
          <w:lang w:val="en-US" w:eastAsia="zh-CN" w:bidi="ar-SA"/>
        </w:rPr>
        <w:t>窗帘要求</w:t>
      </w:r>
    </w:p>
    <w:p>
      <w:pPr>
        <w:numPr>
          <w:ilvl w:val="0"/>
          <w:numId w:val="0"/>
        </w:numPr>
        <w:spacing w:line="580" w:lineRule="exact"/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zh-CN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zh-CN"/>
        </w:rPr>
        <w:t>一、服务内容</w:t>
      </w:r>
    </w:p>
    <w:p>
      <w:pPr>
        <w:numPr>
          <w:ilvl w:val="0"/>
          <w:numId w:val="0"/>
        </w:numPr>
        <w:spacing w:line="580" w:lineRule="exact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为创造舒适的办公及献血环境，对中心的办公及公共区域进行窗帘安装。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</w:p>
    <w:p>
      <w:pPr>
        <w:numPr>
          <w:ilvl w:val="0"/>
          <w:numId w:val="2"/>
        </w:numPr>
        <w:spacing w:line="580" w:lineRule="exac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资质要求</w:t>
      </w:r>
    </w:p>
    <w:p>
      <w:pPr>
        <w:numPr>
          <w:ilvl w:val="0"/>
          <w:numId w:val="3"/>
        </w:numPr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  <w:lang w:val="zh-CN"/>
        </w:rPr>
      </w:pPr>
      <w:r>
        <w:rPr>
          <w:rFonts w:hint="eastAsia" w:ascii="宋体" w:hAnsi="宋体" w:eastAsia="宋体" w:cs="宋体"/>
          <w:sz w:val="28"/>
          <w:szCs w:val="28"/>
        </w:rPr>
        <w:t>投标人具有独立承担民事责任的能力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和履行合同能力。</w:t>
      </w:r>
    </w:p>
    <w:p>
      <w:pPr>
        <w:numPr>
          <w:ilvl w:val="0"/>
          <w:numId w:val="3"/>
        </w:numPr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投标人参加本次比选活动前三年内，在经营活动中没有重大违法违规记录。</w:t>
      </w:r>
    </w:p>
    <w:p>
      <w:pPr>
        <w:numPr>
          <w:ilvl w:val="0"/>
          <w:numId w:val="3"/>
        </w:numPr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投标人具有良好的商业信誉和健全的财务会计制度。</w:t>
      </w:r>
    </w:p>
    <w:p>
      <w:pPr>
        <w:numPr>
          <w:ilvl w:val="0"/>
          <w:numId w:val="3"/>
        </w:numPr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投标人具有依法缴纳税收和社会保障资金的良好记录。</w:t>
      </w:r>
    </w:p>
    <w:p>
      <w:pPr>
        <w:numPr>
          <w:ilvl w:val="0"/>
          <w:numId w:val="3"/>
        </w:numPr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投标人提供营业执照等相关资质文件，并加盖公章。</w:t>
      </w:r>
    </w:p>
    <w:p>
      <w:pPr>
        <w:numPr>
          <w:ilvl w:val="0"/>
          <w:numId w:val="3"/>
        </w:numPr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投标人具有履行所必需的设备和专业技术能力，提供相关证明材料。</w:t>
      </w:r>
    </w:p>
    <w:p>
      <w:pPr>
        <w:numPr>
          <w:ilvl w:val="0"/>
          <w:numId w:val="0"/>
        </w:numPr>
        <w:spacing w:line="580" w:lineRule="exac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三、服务要求</w:t>
      </w:r>
    </w:p>
    <w:p>
      <w:pPr>
        <w:numPr>
          <w:ilvl w:val="0"/>
          <w:numId w:val="0"/>
        </w:numPr>
        <w:spacing w:line="5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完成中心办公室公共区域窗帘制作及安装。</w:t>
      </w:r>
    </w:p>
    <w:p>
      <w:pPr>
        <w:numPr>
          <w:ilvl w:val="0"/>
          <w:numId w:val="0"/>
        </w:numPr>
        <w:spacing w:line="5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2、窗帘</w:t>
      </w:r>
      <w:r>
        <w:rPr>
          <w:rFonts w:hint="eastAsia" w:ascii="宋体" w:hAnsi="宋体" w:eastAsia="宋体" w:cs="宋体"/>
          <w:sz w:val="28"/>
          <w:szCs w:val="28"/>
        </w:rPr>
        <w:t>价格按每平方米进行计算（含税），结算金额以现场实际测量尺寸及合同约定单价计算为准，窗帘物料损耗不计费用。每平米价格包括但不限于尺寸测量、窗帘制作、安装配件、物料配送、施工安装、现场物料清理等相关工作。</w:t>
      </w:r>
    </w:p>
    <w:p>
      <w:pPr>
        <w:numPr>
          <w:ilvl w:val="0"/>
          <w:numId w:val="0"/>
        </w:numPr>
        <w:spacing w:line="5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投标人需根据中心要求现场提供各个产品的样品。</w:t>
      </w:r>
    </w:p>
    <w:p>
      <w:pPr>
        <w:numPr>
          <w:ilvl w:val="0"/>
          <w:numId w:val="0"/>
        </w:numPr>
        <w:spacing w:line="580" w:lineRule="exact"/>
        <w:ind w:firstLine="56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投标人需报每个产品的单价（半遮光卷帘、全遮光卷帘、柔纱帘按㎡报单价）。</w:t>
      </w:r>
    </w:p>
    <w:p>
      <w:pPr>
        <w:numPr>
          <w:ilvl w:val="0"/>
          <w:numId w:val="0"/>
        </w:numPr>
        <w:spacing w:line="580" w:lineRule="exact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5、投标人不得对单件产品设置最低购买数量。</w:t>
      </w:r>
    </w:p>
    <w:p>
      <w:pPr>
        <w:numPr>
          <w:ilvl w:val="0"/>
          <w:numId w:val="0"/>
        </w:numPr>
        <w:spacing w:line="5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6、投标人应提供</w:t>
      </w:r>
      <w:r>
        <w:rPr>
          <w:rFonts w:hint="eastAsia" w:ascii="宋体" w:hAnsi="宋体" w:eastAsia="宋体" w:cs="宋体"/>
          <w:sz w:val="28"/>
          <w:szCs w:val="28"/>
        </w:rPr>
        <w:t>产品相关检测报告。</w:t>
      </w:r>
    </w:p>
    <w:p>
      <w:pPr>
        <w:numPr>
          <w:ilvl w:val="0"/>
          <w:numId w:val="0"/>
        </w:numPr>
        <w:spacing w:line="580" w:lineRule="exact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7、尺寸</w:t>
      </w:r>
      <w:r>
        <w:rPr>
          <w:rFonts w:hint="eastAsia" w:ascii="宋体" w:hAnsi="宋体" w:eastAsia="宋体" w:cs="宋体"/>
          <w:sz w:val="28"/>
          <w:szCs w:val="28"/>
        </w:rPr>
        <w:t>具体以现场实际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测量</w:t>
      </w:r>
      <w:r>
        <w:rPr>
          <w:rFonts w:hint="eastAsia" w:ascii="宋体" w:hAnsi="宋体" w:eastAsia="宋体" w:cs="宋体"/>
          <w:sz w:val="28"/>
          <w:szCs w:val="28"/>
        </w:rPr>
        <w:t>为准。</w:t>
      </w:r>
    </w:p>
    <w:p>
      <w:pPr>
        <w:numPr>
          <w:ilvl w:val="0"/>
          <w:numId w:val="0"/>
        </w:numPr>
        <w:spacing w:line="580" w:lineRule="exac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四、产品性能及参数要求</w:t>
      </w:r>
    </w:p>
    <w:p>
      <w:pPr>
        <w:numPr>
          <w:ilvl w:val="0"/>
          <w:numId w:val="0"/>
        </w:numPr>
        <w:spacing w:line="5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产品要求无毒无味、无刺激性、透气透湿、抗菌环保、防火，不掉色、不褪色、不缩水。</w:t>
      </w:r>
    </w:p>
    <w:p>
      <w:pPr>
        <w:numPr>
          <w:ilvl w:val="0"/>
          <w:numId w:val="0"/>
        </w:numPr>
        <w:spacing w:line="5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网布网线网目粘着牢固，切口平整不脱纱，不吸水、不吸油，耐脏易清洗，无味环保，通风自然，外观美化。</w:t>
      </w:r>
    </w:p>
    <w:p>
      <w:pPr>
        <w:numPr>
          <w:ilvl w:val="0"/>
          <w:numId w:val="0"/>
        </w:numPr>
        <w:spacing w:line="5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安装配件等金属件必须经防锈处理，确保不生锈。</w:t>
      </w:r>
    </w:p>
    <w:p>
      <w:pPr>
        <w:numPr>
          <w:ilvl w:val="0"/>
          <w:numId w:val="0"/>
        </w:numPr>
        <w:spacing w:line="5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</w:rPr>
        <w:t>产品必须符合国家相关规定。</w:t>
      </w:r>
    </w:p>
    <w:p>
      <w:pPr>
        <w:numPr>
          <w:ilvl w:val="0"/>
          <w:numId w:val="0"/>
        </w:numPr>
        <w:spacing w:line="5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</w:rPr>
        <w:t>参数要求：</w:t>
      </w:r>
    </w:p>
    <w:tbl>
      <w:tblPr>
        <w:tblStyle w:val="11"/>
        <w:tblW w:w="89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542"/>
        <w:gridCol w:w="5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25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图片</w:t>
            </w:r>
          </w:p>
        </w:tc>
        <w:tc>
          <w:tcPr>
            <w:tcW w:w="500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6" w:hRule="atLeast"/>
        </w:trPr>
        <w:tc>
          <w:tcPr>
            <w:tcW w:w="1413" w:type="dxa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半遮光卷帘</w:t>
            </w:r>
          </w:p>
        </w:tc>
        <w:tc>
          <w:tcPr>
            <w:tcW w:w="25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114300" distR="114300">
                  <wp:extent cx="1422400" cy="763905"/>
                  <wp:effectExtent l="0" t="0" r="0" b="10795"/>
                  <wp:docPr id="1" name="图片 3" descr="1632629217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 descr="1632629217(1)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400" cy="763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4" w:type="dxa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1.材质：70%聚酯纤维十30%PVC。</w:t>
            </w:r>
          </w:p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2.开孔率：5%。</w:t>
            </w:r>
          </w:p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3.采用大型制头，齿轮结构，拉动更快速。</w:t>
            </w:r>
          </w:p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4.塑料件为工程尼龙塑料（PA），环保、抗老化性能优异。</w:t>
            </w:r>
          </w:p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5.拉珠为4.5X6尺寸密拉珠，POM材质。</w:t>
            </w:r>
          </w:p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6.颜色:可以按照要求提供颜色。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6" w:hRule="atLeast"/>
        </w:trPr>
        <w:tc>
          <w:tcPr>
            <w:tcW w:w="1413" w:type="dxa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全遮光卷帘</w:t>
            </w:r>
          </w:p>
        </w:tc>
        <w:tc>
          <w:tcPr>
            <w:tcW w:w="25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114300" distR="114300">
                  <wp:extent cx="1540510" cy="866140"/>
                  <wp:effectExtent l="0" t="0" r="8890" b="10160"/>
                  <wp:docPr id="3" name="图片 5" descr="16326296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5" descr="163262969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0510" cy="866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4" w:type="dxa"/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1.材质：100%涤纶面料（Polyerter）。</w:t>
            </w:r>
          </w:p>
          <w:p>
            <w:pPr>
              <w:widowControl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3.采用大型制头，齿轮结构，拉动更快速。</w:t>
            </w:r>
          </w:p>
          <w:p>
            <w:pPr>
              <w:widowControl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4.塑料件为工程尼龙塑料（PA），环保、抗老化性能优异。</w:t>
            </w:r>
          </w:p>
          <w:p>
            <w:pPr>
              <w:widowControl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5.拉珠为4.5X6尺寸密拉珠，POM材质。</w:t>
            </w:r>
          </w:p>
          <w:p>
            <w:pPr>
              <w:widowControl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6.颜色:可以按照要求提供颜色。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6" w:hRule="atLeast"/>
        </w:trPr>
        <w:tc>
          <w:tcPr>
            <w:tcW w:w="1413" w:type="dxa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柔纱帘</w:t>
            </w:r>
          </w:p>
        </w:tc>
        <w:tc>
          <w:tcPr>
            <w:tcW w:w="25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114300" distR="114300">
                  <wp:extent cx="1509395" cy="996950"/>
                  <wp:effectExtent l="0" t="0" r="1905" b="6350"/>
                  <wp:docPr id="9" name="图片 1" descr="5e7e4965641ca96986d83ea5c59bbf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" descr="5e7e4965641ca96986d83ea5c59bbfa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9395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4" w:type="dxa"/>
            <w:vAlign w:val="center"/>
          </w:tcPr>
          <w:p>
            <w:pPr>
              <w:widowControl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1.仿麻斑马帘，采用仿麻面料，遮光效果较半遮光斑马帘要好。</w:t>
            </w:r>
          </w:p>
          <w:p>
            <w:pPr>
              <w:widowControl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2.全遮光斑马帘，采用全遮光面料，可以达到100%遮光效果。 </w:t>
            </w:r>
          </w:p>
          <w:p>
            <w:pPr>
              <w:widowControl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3.采用聚酯涤纶面料编织而成，具有良好的透光透气效果，可以广泛用于办公室、咖啡厅、家居等场所。 </w:t>
            </w:r>
          </w:p>
          <w:p>
            <w:pPr>
              <w:widowControl/>
              <w:spacing w:line="300" w:lineRule="exact"/>
              <w:jc w:val="left"/>
              <w:textAlignment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4.颜色:可以按照要求提供颜色。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6" w:hRule="atLeast"/>
        </w:trPr>
        <w:tc>
          <w:tcPr>
            <w:tcW w:w="1413" w:type="dxa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下梁配件</w:t>
            </w:r>
          </w:p>
        </w:tc>
        <w:tc>
          <w:tcPr>
            <w:tcW w:w="25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114300" distR="114300">
                  <wp:extent cx="1493520" cy="772795"/>
                  <wp:effectExtent l="0" t="0" r="5080" b="1905"/>
                  <wp:docPr id="10" name="图片 2" descr="29f3e82fde3590eef3f77c2d9430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2" descr="29f3e82fde3590eef3f77c2d943019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3520" cy="772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4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1.材质：铝合金底杆。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2.壁厚≥1.5mm。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3.铝合金扁管，外观尺寸≥32mm*11mm。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4.规定非比例延伸强度≥170 MPa。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5.抗拉强度≥220MPa。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6.韦氏硬度≥12HW。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7.扭拧度≤0.5mm/m。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8.每米克重≥400g。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6" w:hRule="atLeast"/>
        </w:trPr>
        <w:tc>
          <w:tcPr>
            <w:tcW w:w="1413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上卷管</w:t>
            </w:r>
          </w:p>
        </w:tc>
        <w:tc>
          <w:tcPr>
            <w:tcW w:w="25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114300" distR="114300">
                  <wp:extent cx="1492250" cy="1132840"/>
                  <wp:effectExtent l="0" t="0" r="6350" b="10160"/>
                  <wp:docPr id="11" name="图片 3" descr="1624416736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3" descr="1624416736(1)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2250" cy="1132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4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1.材质：铝合金卷管。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2.壁厚≥1.5mm。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3.管体采用铝型材，圆管内直径≥φ38.00mm，壁厚：0.6 mm。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4.每米承重力≥20kg。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6" w:hRule="atLeast"/>
        </w:trPr>
        <w:tc>
          <w:tcPr>
            <w:tcW w:w="1413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制头与拉珠</w:t>
            </w:r>
          </w:p>
        </w:tc>
        <w:tc>
          <w:tcPr>
            <w:tcW w:w="25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drawing>
                <wp:inline distT="0" distB="0" distL="114300" distR="114300">
                  <wp:extent cx="1480185" cy="1351280"/>
                  <wp:effectExtent l="0" t="0" r="5715" b="7620"/>
                  <wp:docPr id="13" name="图片 13" descr="034041cded2848891f5df455859c4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034041cded2848891f5df455859c42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0185" cy="1351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4" w:type="dxa"/>
            <w:vAlign w:val="center"/>
          </w:tcPr>
          <w:p>
            <w:pPr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1.成分PA+玻璃纤维。</w:t>
            </w:r>
          </w:p>
          <w:p>
            <w:pPr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2.最大承受力≥8KG。</w:t>
            </w:r>
          </w:p>
          <w:p>
            <w:pPr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3.使用强度：疲劳测试≥12000次无异常。</w:t>
            </w:r>
          </w:p>
          <w:p>
            <w:pPr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4.拉珠：选用高强度塑料材质，拉珠颗粒圆整。</w:t>
            </w:r>
          </w:p>
          <w:p>
            <w:pPr>
              <w:spacing w:line="300" w:lineRule="exact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5.间距均匀，表面光洁、不易褪色，无毛刺感。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6" w:hRule="atLeast"/>
        </w:trPr>
        <w:tc>
          <w:tcPr>
            <w:tcW w:w="1413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轨道</w:t>
            </w:r>
          </w:p>
        </w:tc>
        <w:tc>
          <w:tcPr>
            <w:tcW w:w="25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462915</wp:posOffset>
                  </wp:positionH>
                  <wp:positionV relativeFrom="paragraph">
                    <wp:posOffset>191135</wp:posOffset>
                  </wp:positionV>
                  <wp:extent cx="522605" cy="1424305"/>
                  <wp:effectExtent l="0" t="0" r="10795" b="10795"/>
                  <wp:wrapNone/>
                  <wp:docPr id="14" name="图片 9" descr="eebad71048551694ba08c888f712b6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9" descr="eebad71048551694ba08c888f712b6d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l="22316" r="35611" b="1445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22605" cy="142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04" w:type="dxa"/>
            <w:vAlign w:val="center"/>
          </w:tcPr>
          <w:p>
            <w:pPr>
              <w:widowControl/>
              <w:numPr>
                <w:ilvl w:val="0"/>
                <w:numId w:val="4"/>
              </w:numPr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优质五金配件及PVC材质滑轮，且滑轮采用优质耐磨的PVC制造；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textAlignment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表面经电泳、抗紫外线和高压喷涂处理；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挂钩应为POM材质，无噪音，经久耐用，永久性防锈：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轨道安装杩必须是金属材质，且必须是原厂配置；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提供原产地证明：规格：20mm*14mm，每米承重：20kg；</w:t>
            </w:r>
          </w:p>
          <w:p>
            <w:pPr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6.光面壁厚：2.1--2.2mm，喷涂厚度：1.02-1.4mm。</w:t>
            </w:r>
          </w:p>
        </w:tc>
      </w:tr>
    </w:tbl>
    <w:p>
      <w:pPr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注：上述表格中的图片仅供参考。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</w:p>
    <w:p>
      <w:pPr>
        <w:numPr>
          <w:ilvl w:val="0"/>
          <w:numId w:val="0"/>
        </w:numPr>
        <w:spacing w:line="580" w:lineRule="exac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五、商务要求</w:t>
      </w:r>
    </w:p>
    <w:p>
      <w:pPr>
        <w:spacing w:line="5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安装区域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由采购人指定。</w:t>
      </w:r>
    </w:p>
    <w:p>
      <w:pPr>
        <w:numPr>
          <w:ilvl w:val="0"/>
          <w:numId w:val="0"/>
        </w:numPr>
        <w:spacing w:line="5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售后要求</w:t>
      </w:r>
    </w:p>
    <w:p>
      <w:pPr>
        <w:numPr>
          <w:ilvl w:val="0"/>
          <w:numId w:val="5"/>
        </w:numPr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投标人负责</w:t>
      </w:r>
      <w:r>
        <w:rPr>
          <w:rFonts w:hint="eastAsia" w:ascii="宋体" w:hAnsi="宋体" w:eastAsia="宋体" w:cs="宋体"/>
          <w:sz w:val="28"/>
          <w:szCs w:val="28"/>
        </w:rPr>
        <w:t>送货、安装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提供三年质保服务，质保期从货物</w:t>
      </w:r>
      <w:r>
        <w:rPr>
          <w:rFonts w:hint="eastAsia" w:ascii="宋体" w:hAnsi="宋体" w:eastAsia="宋体" w:cs="宋体"/>
          <w:sz w:val="28"/>
          <w:szCs w:val="28"/>
        </w:rPr>
        <w:t>安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装完毕交付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开始计算，质保期内若出现质量问题，免费进行维修或更换。质保期结束后，以双方协商价格进行维修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</w:t>
      </w:r>
    </w:p>
    <w:p>
      <w:pPr>
        <w:numPr>
          <w:ilvl w:val="0"/>
          <w:numId w:val="5"/>
        </w:numPr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投标人负责货物的维修服务，在接到报修通知后2小时内响应，24小时内到达现场，48小时内完成维修或更换。</w:t>
      </w:r>
    </w:p>
    <w:p>
      <w:pPr>
        <w:numPr>
          <w:ilvl w:val="0"/>
          <w:numId w:val="0"/>
        </w:numPr>
        <w:spacing w:line="5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其他要求</w:t>
      </w:r>
    </w:p>
    <w:p>
      <w:pPr>
        <w:numPr>
          <w:ilvl w:val="0"/>
          <w:numId w:val="6"/>
        </w:numPr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服务期限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合同签订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之</w:t>
      </w:r>
      <w:r>
        <w:rPr>
          <w:rFonts w:hint="eastAsia" w:ascii="宋体" w:hAnsi="宋体" w:eastAsia="宋体" w:cs="宋体"/>
          <w:sz w:val="28"/>
          <w:szCs w:val="28"/>
        </w:rPr>
        <w:t>日起一年（具体时间以合同约定时间为准）。</w:t>
      </w:r>
    </w:p>
    <w:p>
      <w:pPr>
        <w:numPr>
          <w:ilvl w:val="0"/>
          <w:numId w:val="6"/>
        </w:numPr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val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付款方式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：按次结算，根据实际测量尺寸及合同约定单价计算金额，窗帘物料损耗不计费用。签订合同后，根据采购人需求分批送货，根据实际制作金额，分批开具正规、足额、合法、有效的发票，并附制作清单。采购人收到发票后付款。</w:t>
      </w:r>
      <w:bookmarkStart w:id="0" w:name="_GoBack"/>
      <w:r>
        <w:rPr>
          <w:rFonts w:hint="eastAsia" w:ascii="宋体" w:hAnsi="宋体" w:eastAsia="宋体" w:cs="宋体"/>
          <w:sz w:val="28"/>
          <w:szCs w:val="28"/>
          <w:highlight w:val="none"/>
        </w:rPr>
        <w:t>（具体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付款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时间以合同约定时间为准）</w:t>
      </w:r>
    </w:p>
    <w:bookmarkEnd w:id="0"/>
    <w:p>
      <w:pPr>
        <w:spacing w:line="579" w:lineRule="exact"/>
        <w:ind w:firstLine="560" w:firstLineChars="200"/>
        <w:rPr>
          <w:rFonts w:hint="eastAsia" w:ascii="宋体" w:hAnsi="宋体" w:eastAsia="宋体" w:cs="宋体"/>
          <w:sz w:val="28"/>
          <w:szCs w:val="28"/>
          <w:u w:val="none"/>
        </w:rPr>
      </w:pPr>
      <w:r>
        <w:rPr>
          <w:rFonts w:hint="eastAsia" w:ascii="宋体" w:hAnsi="宋体" w:eastAsia="宋体" w:cs="宋体"/>
          <w:sz w:val="28"/>
          <w:szCs w:val="28"/>
          <w:u w:val="none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u w:val="none"/>
        </w:rPr>
        <w:t>）协议承诺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u w:val="none"/>
        </w:rPr>
        <w:t>根据中心要求需签定保密协议和廉洁承诺书。</w:t>
      </w:r>
    </w:p>
    <w:p>
      <w:pPr>
        <w:numPr>
          <w:ilvl w:val="0"/>
          <w:numId w:val="0"/>
        </w:numPr>
        <w:spacing w:line="580" w:lineRule="exac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六、项目预算</w:t>
      </w:r>
    </w:p>
    <w:p>
      <w:pPr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u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本项目</w:t>
      </w:r>
      <w:r>
        <w:rPr>
          <w:rFonts w:hint="eastAsia" w:ascii="宋体" w:hAnsi="宋体" w:eastAsia="宋体" w:cs="宋体"/>
          <w:sz w:val="28"/>
          <w:szCs w:val="28"/>
          <w:u w:val="none"/>
        </w:rPr>
        <w:t>预算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为20</w:t>
      </w:r>
      <w:r>
        <w:rPr>
          <w:rFonts w:hint="eastAsia" w:ascii="宋体" w:hAnsi="宋体" w:eastAsia="宋体" w:cs="宋体"/>
          <w:sz w:val="28"/>
          <w:szCs w:val="28"/>
          <w:u w:val="none"/>
        </w:rPr>
        <w:t>万元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。</w:t>
      </w:r>
    </w:p>
    <w:p>
      <w:pPr>
        <w:rPr>
          <w:rFonts w:hint="eastAsia" w:ascii="宋体" w:hAnsi="宋体" w:eastAsia="宋体" w:cs="宋体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line="14" w:lineRule="auto"/>
      <w:rPr>
        <w:sz w:val="20"/>
      </w:rPr>
    </w:pPr>
    <w:r>
      <w:rPr>
        <w:sz w:val="20"/>
      </w:rPr>
      <w:pict>
        <v:shape id="文本框 1063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OqXm5zwAAAAUBAAAPAAAAAAAAAAEAIAAAACIAAABkcnMvZG93bnJldi54&#10;bWxQSwECFAAUAAAACACHTuJA607ZEMoBAACeAwAADgAAAAAAAAABACAAAAAeAQAAZHJzL2Uyb0Rv&#10;Yy54bWxQSwUGAAAAAAYABgBZAQAAWg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  <w:p>
    <w:pPr>
      <w:pStyle w:val="8"/>
    </w:pPr>
  </w:p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BB80D6"/>
    <w:multiLevelType w:val="singleLevel"/>
    <w:tmpl w:val="81BB80D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49AEDF3"/>
    <w:multiLevelType w:val="singleLevel"/>
    <w:tmpl w:val="E49AEDF3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E7999F44"/>
    <w:multiLevelType w:val="singleLevel"/>
    <w:tmpl w:val="E7999F44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323B0C75"/>
    <w:multiLevelType w:val="singleLevel"/>
    <w:tmpl w:val="323B0C75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44EE9539"/>
    <w:multiLevelType w:val="singleLevel"/>
    <w:tmpl w:val="44EE953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58464DCA"/>
    <w:multiLevelType w:val="multilevel"/>
    <w:tmpl w:val="58464DCA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69D76838"/>
    <w:rsid w:val="0000122A"/>
    <w:rsid w:val="00071F51"/>
    <w:rsid w:val="001B205D"/>
    <w:rsid w:val="001F6219"/>
    <w:rsid w:val="00373F9A"/>
    <w:rsid w:val="00436230"/>
    <w:rsid w:val="00457277"/>
    <w:rsid w:val="007951BF"/>
    <w:rsid w:val="009663A3"/>
    <w:rsid w:val="009A1207"/>
    <w:rsid w:val="009B7812"/>
    <w:rsid w:val="00A6769B"/>
    <w:rsid w:val="00B90E95"/>
    <w:rsid w:val="00BB2887"/>
    <w:rsid w:val="00BC64C5"/>
    <w:rsid w:val="00C10950"/>
    <w:rsid w:val="00C54A50"/>
    <w:rsid w:val="00D2105B"/>
    <w:rsid w:val="00E8287B"/>
    <w:rsid w:val="00F70E0B"/>
    <w:rsid w:val="023F6C9F"/>
    <w:rsid w:val="027F4D04"/>
    <w:rsid w:val="03D31637"/>
    <w:rsid w:val="06AE712C"/>
    <w:rsid w:val="08F46242"/>
    <w:rsid w:val="09E65669"/>
    <w:rsid w:val="0AC919A3"/>
    <w:rsid w:val="0B081B01"/>
    <w:rsid w:val="0E797CFE"/>
    <w:rsid w:val="0F0F7410"/>
    <w:rsid w:val="0F7E18FF"/>
    <w:rsid w:val="106F63B8"/>
    <w:rsid w:val="12B57676"/>
    <w:rsid w:val="13480BB5"/>
    <w:rsid w:val="13DF4099"/>
    <w:rsid w:val="169177F0"/>
    <w:rsid w:val="17093841"/>
    <w:rsid w:val="19D15789"/>
    <w:rsid w:val="1B4D3A39"/>
    <w:rsid w:val="1B9B6B11"/>
    <w:rsid w:val="1BD1347B"/>
    <w:rsid w:val="1EC82813"/>
    <w:rsid w:val="2017532B"/>
    <w:rsid w:val="213B32B2"/>
    <w:rsid w:val="236E74ED"/>
    <w:rsid w:val="25240A8D"/>
    <w:rsid w:val="25783B09"/>
    <w:rsid w:val="25FD105C"/>
    <w:rsid w:val="25FF484B"/>
    <w:rsid w:val="27DF610E"/>
    <w:rsid w:val="2859348D"/>
    <w:rsid w:val="287A7995"/>
    <w:rsid w:val="292A4527"/>
    <w:rsid w:val="2957084F"/>
    <w:rsid w:val="2ACE1AD5"/>
    <w:rsid w:val="2BEE7C4D"/>
    <w:rsid w:val="2C0B2FE1"/>
    <w:rsid w:val="2DDD6147"/>
    <w:rsid w:val="2E112405"/>
    <w:rsid w:val="2ED022C0"/>
    <w:rsid w:val="2EFE6B24"/>
    <w:rsid w:val="2FA60E46"/>
    <w:rsid w:val="36794BD0"/>
    <w:rsid w:val="36A01B89"/>
    <w:rsid w:val="36AC5DE2"/>
    <w:rsid w:val="391B4424"/>
    <w:rsid w:val="3A92176A"/>
    <w:rsid w:val="3AFB55E5"/>
    <w:rsid w:val="3B825248"/>
    <w:rsid w:val="3C1E7795"/>
    <w:rsid w:val="3CB3417A"/>
    <w:rsid w:val="3DC747FD"/>
    <w:rsid w:val="3DD4BD51"/>
    <w:rsid w:val="3ECE4385"/>
    <w:rsid w:val="3FEF7865"/>
    <w:rsid w:val="41792343"/>
    <w:rsid w:val="438A1A15"/>
    <w:rsid w:val="442C5D93"/>
    <w:rsid w:val="45EF625F"/>
    <w:rsid w:val="46B75DE7"/>
    <w:rsid w:val="47CA7D9C"/>
    <w:rsid w:val="48664DC6"/>
    <w:rsid w:val="4A4549DA"/>
    <w:rsid w:val="4A526C39"/>
    <w:rsid w:val="4B9778B1"/>
    <w:rsid w:val="4C1E4213"/>
    <w:rsid w:val="4EA56E6D"/>
    <w:rsid w:val="4F36183C"/>
    <w:rsid w:val="521C11CA"/>
    <w:rsid w:val="5406215C"/>
    <w:rsid w:val="540E784C"/>
    <w:rsid w:val="547015D5"/>
    <w:rsid w:val="54B33EAF"/>
    <w:rsid w:val="54E57FCD"/>
    <w:rsid w:val="55BA1450"/>
    <w:rsid w:val="57252A4D"/>
    <w:rsid w:val="576569DC"/>
    <w:rsid w:val="576D3F89"/>
    <w:rsid w:val="57E722A5"/>
    <w:rsid w:val="586C6306"/>
    <w:rsid w:val="59F14D15"/>
    <w:rsid w:val="5B8D6CBF"/>
    <w:rsid w:val="5BB24C3A"/>
    <w:rsid w:val="5E8E6FD6"/>
    <w:rsid w:val="5FCC0B76"/>
    <w:rsid w:val="60A4082E"/>
    <w:rsid w:val="60EB74F4"/>
    <w:rsid w:val="612260FC"/>
    <w:rsid w:val="61671D60"/>
    <w:rsid w:val="61C2008C"/>
    <w:rsid w:val="623C05D4"/>
    <w:rsid w:val="62AF7E63"/>
    <w:rsid w:val="64552344"/>
    <w:rsid w:val="663E7710"/>
    <w:rsid w:val="67985B19"/>
    <w:rsid w:val="67B97E06"/>
    <w:rsid w:val="69132AD4"/>
    <w:rsid w:val="69D76838"/>
    <w:rsid w:val="6A9531F8"/>
    <w:rsid w:val="6B0B01A9"/>
    <w:rsid w:val="6B8A0797"/>
    <w:rsid w:val="6CB5710E"/>
    <w:rsid w:val="6D7A3939"/>
    <w:rsid w:val="6D887BF6"/>
    <w:rsid w:val="6E2C1008"/>
    <w:rsid w:val="6EF64372"/>
    <w:rsid w:val="70C23DF8"/>
    <w:rsid w:val="735646A3"/>
    <w:rsid w:val="73972979"/>
    <w:rsid w:val="75017769"/>
    <w:rsid w:val="75CD61DE"/>
    <w:rsid w:val="76D0307A"/>
    <w:rsid w:val="7A287E87"/>
    <w:rsid w:val="7B5D1DB2"/>
    <w:rsid w:val="7BDE54FF"/>
    <w:rsid w:val="7BFA766C"/>
    <w:rsid w:val="7CB740B3"/>
    <w:rsid w:val="7EA56D4E"/>
    <w:rsid w:val="FDBF867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415" w:lineRule="auto"/>
      <w:jc w:val="left"/>
      <w:outlineLvl w:val="1"/>
    </w:pPr>
    <w:rPr>
      <w:rFonts w:ascii="Arial" w:hAnsi="Arial" w:eastAsia="宋体" w:cs="Times New Roman"/>
      <w:bCs/>
      <w:sz w:val="32"/>
      <w:szCs w:val="32"/>
      <w:lang w:val="zh-CN" w:bidi="zh-CN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annotation text"/>
    <w:basedOn w:val="1"/>
    <w:link w:val="16"/>
    <w:qFormat/>
    <w:uiPriority w:val="0"/>
    <w:pPr>
      <w:jc w:val="left"/>
    </w:pPr>
  </w:style>
  <w:style w:type="paragraph" w:styleId="5">
    <w:name w:val="Body Text"/>
    <w:basedOn w:val="1"/>
    <w:next w:val="1"/>
    <w:qFormat/>
    <w:uiPriority w:val="0"/>
    <w:rPr>
      <w:rFonts w:ascii="仿宋" w:hAnsi="仿宋" w:eastAsia="仿宋" w:cs="仿宋"/>
      <w:sz w:val="24"/>
      <w:lang w:val="zh-CN" w:bidi="zh-CN"/>
    </w:rPr>
  </w:style>
  <w:style w:type="paragraph" w:styleId="6">
    <w:name w:val="Balloon Text"/>
    <w:basedOn w:val="1"/>
    <w:link w:val="18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annotation subject"/>
    <w:basedOn w:val="4"/>
    <w:next w:val="4"/>
    <w:link w:val="17"/>
    <w:qFormat/>
    <w:uiPriority w:val="0"/>
    <w:rPr>
      <w:b/>
      <w:bCs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2"/>
    <w:qFormat/>
    <w:uiPriority w:val="0"/>
    <w:rPr>
      <w:color w:val="0000FF"/>
      <w:u w:val="single"/>
    </w:rPr>
  </w:style>
  <w:style w:type="character" w:styleId="14">
    <w:name w:val="annotation reference"/>
    <w:basedOn w:val="12"/>
    <w:qFormat/>
    <w:uiPriority w:val="0"/>
    <w:rPr>
      <w:sz w:val="21"/>
      <w:szCs w:val="21"/>
    </w:rPr>
  </w:style>
  <w:style w:type="paragraph" w:customStyle="1" w:styleId="15">
    <w:name w:val="列出段落1"/>
    <w:basedOn w:val="1"/>
    <w:qFormat/>
    <w:uiPriority w:val="1"/>
    <w:pPr>
      <w:ind w:left="240" w:firstLine="480"/>
    </w:pPr>
    <w:rPr>
      <w:rFonts w:ascii="仿宋" w:hAnsi="仿宋" w:eastAsia="仿宋" w:cs="仿宋"/>
      <w:lang w:val="zh-CN" w:bidi="zh-CN"/>
    </w:rPr>
  </w:style>
  <w:style w:type="character" w:customStyle="1" w:styleId="16">
    <w:name w:val="批注文字 Char"/>
    <w:basedOn w:val="12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7">
    <w:name w:val="批注主题 Char"/>
    <w:basedOn w:val="16"/>
    <w:link w:val="9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18">
    <w:name w:val="批注框文本 Char"/>
    <w:basedOn w:val="12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1625</Words>
  <Characters>1790</Characters>
  <Lines>23</Lines>
  <Paragraphs>6</Paragraphs>
  <TotalTime>53</TotalTime>
  <ScaleCrop>false</ScaleCrop>
  <LinksUpToDate>false</LinksUpToDate>
  <CharactersWithSpaces>1797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2022-01-26T18:20:00Z</dcterms:created>
  <dc:creator>tangqin</dc:creator>
  <cp:lastModifiedBy>Dell</cp:lastModifiedBy>
  <cp:lastPrinted>2022-03-14T07:30:00Z</cp:lastPrinted>
  <dcterms:modified xsi:type="dcterms:W3CDTF">2022-04-11T06:14:48Z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8F17854362F84ABEBF35F9126DDD5AC0</vt:lpwstr>
  </property>
</Properties>
</file>