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宋体" w:cs="Times New Roman"/>
          <w:b/>
          <w:bCs/>
          <w:sz w:val="40"/>
          <w:szCs w:val="40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40"/>
          <w:szCs w:val="40"/>
          <w:lang w:eastAsia="zh-CN"/>
        </w:rPr>
        <w:t>附件四：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40"/>
          <w:szCs w:val="40"/>
        </w:rPr>
        <w:t>UPS配置</w:t>
      </w:r>
      <w:r>
        <w:rPr>
          <w:rFonts w:hint="default" w:ascii="Times New Roman" w:hAnsi="Times New Roman" w:eastAsia="宋体" w:cs="Times New Roman"/>
          <w:b/>
          <w:bCs/>
          <w:sz w:val="40"/>
          <w:szCs w:val="40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cs="Times New Roman"/>
          <w:b/>
          <w:bCs/>
          <w:sz w:val="28"/>
          <w:szCs w:val="28"/>
          <w:lang w:eastAsia="zh-CN"/>
        </w:rPr>
        <w:t>技术参数要求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（一）200KVA  UPS系统集成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UPS主机机框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1.1电压范围138V-485V；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1.2功率因素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≥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0.99；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1.3电池电压±180-±280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V（默认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±2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V）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1.4THDV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1%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（线性负载）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1.5整机系统效率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≥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96%；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1.6过载能力：105%以下负载长期运行，110%负载维持60min，125%负载维持10min，150%负载维持1min；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1.7具备无转换时间的维修旁路开关；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1.8告警功能：输入异常、电池低压、过载、故障等；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1.9保护功能：输出短路保护、输出过压欠压保护、过载保护、过温保护、电池欠压保护等；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1.10噪音：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70dB；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1.11工作温度0-40℃；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1.12重量：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500kg。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UPS模块：50KVA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蓄电池：额定电压12V，额定容量：150Ah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/200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Ah，Pb-PbO2 体系可充电蓄电池；Pb-Ca-Sn合金板栅；10hR(15A,10.8V),25℃完全充电状态：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mΩ。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电池架：40节，根据电池尺寸配置。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（二）10KVA  UPS系统集成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UPS主机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1.1电压范围110V-300V；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1.2功率因素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≥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0.99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（满载）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1.3电池电压192V；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1.4THDV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3%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（线性负载）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1.5整机系统效率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≥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93%；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1.6过载能力：105%以下负载长期运行，106%-110%负载维持10min，110%-130%负载维持1min，大于130%负载维持3秒；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1.7告警功能：输入异常、电池低压、过载、故障等；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1.8保护功能：输出短路保护、输出过压欠压保护、过载保护、过温保护、电池欠压保护等；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1.9噪音：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60dB；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1.10工作温度0-40℃；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1.11重量：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50kg。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蓄电池：额定电压12V ，额定容量：100Ah，Pb-PbO2 体系可充电蓄电池；Pb-Ca-Sn合金板栅；10hR(10A, 10.8V) 25℃完全充电状态: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mΩ。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电池架：16节，根据电池尺寸配置。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二、其他要求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1、规格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200KVA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系统后备延时供电时间为1h，规格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10KVA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UPS系统后备延时供电时间为2h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2、该项目中规格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200KVA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系统数量1套，规格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10KVA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UPS系统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数量为5套，投标人需报每套UPS产品的单价。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3、送货、安装、移机以及相关辅材均由投标人负责，安装完毕交付后使用年限必须达到标准，并且负责货物的维修服务。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4、投标人在接到报修通知后2h内响应，24h内到达现场，48h内完成维修或更换。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两个规格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系统的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主机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均提供一年质保服务；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200KVA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系统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的蓄电池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提供五年质保服务、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UPS模块提供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年质保服务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10KVA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系统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的蓄电池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提供一年质保服务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、电池架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提供五年质保服务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、质量标准：执行国家、省、市及行业等现行标准及验收规范。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三、资质要求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具有独立承担民事责任的能力和履行合同能力。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具有依法缴纳税收和社会保障资金的良好记录。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投标人提供营业执照等相关资质文件，并加盖公章；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提供泰尔认证证书和泰尔检验报告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四、预算金额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200KVA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UPS系统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预算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约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万元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，10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KVA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UPS系统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预算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约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万元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213ED"/>
    <w:rsid w:val="054B5C64"/>
    <w:rsid w:val="0F270C7E"/>
    <w:rsid w:val="16317DC7"/>
    <w:rsid w:val="172B54B2"/>
    <w:rsid w:val="1E2B6727"/>
    <w:rsid w:val="208B15C7"/>
    <w:rsid w:val="267E1745"/>
    <w:rsid w:val="2A9A2111"/>
    <w:rsid w:val="2AD222B4"/>
    <w:rsid w:val="2CCC0AB4"/>
    <w:rsid w:val="3EB478F6"/>
    <w:rsid w:val="444828AD"/>
    <w:rsid w:val="48374909"/>
    <w:rsid w:val="4C9320E2"/>
    <w:rsid w:val="52F55A67"/>
    <w:rsid w:val="5ACC1D2D"/>
    <w:rsid w:val="634963F2"/>
    <w:rsid w:val="641328DA"/>
    <w:rsid w:val="67AA3AE3"/>
    <w:rsid w:val="6F7E646C"/>
    <w:rsid w:val="747C2C16"/>
    <w:rsid w:val="74C93CDE"/>
    <w:rsid w:val="766F4355"/>
    <w:rsid w:val="781C2EF4"/>
    <w:rsid w:val="7A471F0E"/>
    <w:rsid w:val="7AB31F2A"/>
    <w:rsid w:val="7DC91256"/>
    <w:rsid w:val="7FD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2021-08-04T13:22:45Z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B0326CA664F44FDEBD6A8FE1547CC908</vt:lpwstr>
  </property>
</Properties>
</file>